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rENM Framework User Manual</w:t>
      </w:r>
    </w:p>
    <w:p>
      <w:pPr>
        <w:pStyle w:val="Author"/>
      </w:pPr>
      <w:r>
        <w:t xml:space="preserve">John L. Schnase</w:t>
      </w:r>
    </w:p>
    <w:p>
      <w:pPr>
        <w:pStyle w:val="Date"/>
      </w:pPr>
      <w:r>
        <w:t xml:space="preserve">2026-04-27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6" w:name="introduction"/>
    <w:p>
      <w:pPr>
        <w:pStyle w:val="Heading1"/>
      </w:pPr>
      <w:r>
        <w:t xml:space="preserve">1. Introduction</w:t>
      </w:r>
    </w:p>
    <w:p>
      <w:pPr>
        <w:pStyle w:val="FirstParagraph"/>
      </w:pPr>
      <w:r>
        <w:t xml:space="preserve">The</w:t>
      </w:r>
      <w:r>
        <w:t xml:space="preserve"> </w:t>
      </w:r>
      <w:r>
        <w:rPr>
          <w:b/>
          <w:bCs/>
        </w:rPr>
        <w:t xml:space="preserve">rENM framework</w:t>
      </w:r>
      <w:r>
        <w:t xml:space="preserve"> </w:t>
      </w:r>
      <w:r>
        <w:t xml:space="preserve">is a modular suite of R packages designed to support the development and analysis of</w:t>
      </w:r>
      <w:r>
        <w:t xml:space="preserve"> </w:t>
      </w:r>
      <w:r>
        <w:rPr>
          <w:i/>
          <w:iCs/>
        </w:rPr>
        <w:t xml:space="preserve">retrospective ecological niche models (rENMs)</w:t>
      </w:r>
      <w:r>
        <w:t xml:space="preserve">.</w:t>
      </w:r>
      <w:r>
        <w:t xml:space="preserve"> </w:t>
      </w:r>
      <w:r>
        <w:rPr>
          <w:i/>
          <w:iCs/>
        </w:rPr>
        <w:t xml:space="preserve">Retrospective ecological niche modeling</w:t>
      </w:r>
      <w:r>
        <w:t xml:space="preserve"> </w:t>
      </w:r>
      <w:r>
        <w:t xml:space="preserve">integrates historical species occurrence records with time-matched environmental data to reconstruct the</w:t>
      </w:r>
      <w:r>
        <w:t xml:space="preserve"> </w:t>
      </w:r>
      <w:r>
        <w:rPr>
          <w:b/>
          <w:bCs/>
        </w:rPr>
        <w:t xml:space="preserve">spatio-temporal dynamics</w:t>
      </w:r>
      <w:r>
        <w:t xml:space="preserve"> </w:t>
      </w:r>
      <w:r>
        <w:t xml:space="preserve">of species’ responses to changing environmental conditions. By revealing</w:t>
      </w:r>
      <w:r>
        <w:t xml:space="preserve"> </w:t>
      </w:r>
      <w:r>
        <w:rPr>
          <w:i/>
          <w:iCs/>
        </w:rPr>
        <w:t xml:space="preserve">long-term patterns</w:t>
      </w:r>
      <w:r>
        <w:t xml:space="preserve">, rENMs provide a</w:t>
      </w:r>
      <w:r>
        <w:t xml:space="preserve"> </w:t>
      </w:r>
      <w:r>
        <w:rPr>
          <w:b/>
          <w:bCs/>
        </w:rPr>
        <w:t xml:space="preserve">powerful observational lens</w:t>
      </w:r>
      <w:r>
        <w:t xml:space="preserve"> </w:t>
      </w:r>
      <w:r>
        <w:t xml:space="preserve">for addressing biological questions and assessing both the</w:t>
      </w:r>
      <w:r>
        <w:t xml:space="preserve"> </w:t>
      </w:r>
      <w:r>
        <w:rPr>
          <w:i/>
          <w:iCs/>
        </w:rPr>
        <w:t xml:space="preserve">current and future conservation status</w:t>
      </w:r>
      <w:r>
        <w:t xml:space="preserve"> </w:t>
      </w:r>
      <w:r>
        <w:t xml:space="preserve">of species.</w:t>
      </w:r>
    </w:p>
    <w:p>
      <w:pPr>
        <w:pStyle w:val="BodyText"/>
      </w:pPr>
      <w:r>
        <w:t xml:space="preserve">Although this analytical approach is broadly applicable across taxa, the current implementation of the</w:t>
      </w:r>
      <w:r>
        <w:t xml:space="preserve"> </w:t>
      </w:r>
      <w:r>
        <w:rPr>
          <w:b/>
          <w:bCs/>
        </w:rPr>
        <w:t xml:space="preserve">rENM framework</w:t>
      </w:r>
      <w:r>
        <w:t xml:space="preserve"> </w:t>
      </w:r>
      <w:r>
        <w:t xml:space="preserve">is designed to investigate</w:t>
      </w:r>
      <w:r>
        <w:t xml:space="preserve"> </w:t>
      </w:r>
      <w:r>
        <w:rPr>
          <w:b/>
          <w:bCs/>
        </w:rPr>
        <w:t xml:space="preserve">climate-driven dynamics</w:t>
      </w:r>
      <w:r>
        <w:t xml:space="preserve"> </w:t>
      </w:r>
      <w:r>
        <w:t xml:space="preserve">in North American bird species. The framework spans approximately</w:t>
      </w:r>
      <w:r>
        <w:t xml:space="preserve"> </w:t>
      </w:r>
      <w:r>
        <w:rPr>
          <w:i/>
          <w:iCs/>
        </w:rPr>
        <w:t xml:space="preserve">45 years (1980–2020)</w:t>
      </w:r>
      <w:r>
        <w:t xml:space="preserve">, leveraging citizen science observations from the Cornell Lab of Ornithology’s eBird database alongside environmental data derived from</w:t>
      </w:r>
      <w:r>
        <w:t xml:space="preserve"> </w:t>
      </w:r>
      <w:r>
        <w:rPr>
          <w:i/>
          <w:iCs/>
        </w:rPr>
        <w:t xml:space="preserve">NASA Earth system models</w:t>
      </w:r>
      <w:r>
        <w:t xml:space="preserve">.</w:t>
      </w:r>
    </w:p>
    <w:p>
      <w:pPr>
        <w:pStyle w:val="BodyText"/>
      </w:pPr>
      <w:r>
        <w:t xml:space="preserve">Additional information can be found in the following publications and the project’s GitHub repository at:</w:t>
      </w:r>
      <w:r>
        <w:t xml:space="preserve"> </w:t>
      </w:r>
      <w:hyperlink r:id="rId9">
        <w:r>
          <w:rPr>
            <w:rStyle w:val="Hyperlink"/>
          </w:rPr>
          <w:t xml:space="preserve">https://github.com/rENM-Framework</w:t>
        </w:r>
      </w:hyperlink>
      <w:r>
        <w:t xml:space="preserve">.</w:t>
      </w:r>
    </w:p>
    <w:p>
      <w:r>
        <w:pict>
          <v:rect style="width:0;height:1.5pt" o:hralign="center" o:hrstd="t" o:hr="t"/>
        </w:pict>
      </w:r>
    </w:p>
    <w:p>
      <w:pPr>
        <w:pStyle w:val="FirstParagraph"/>
      </w:pPr>
      <w:r>
        <w:rPr>
          <w:b/>
          <w:bCs/>
        </w:rPr>
        <w:t xml:space="preserve">Selected Publications</w:t>
      </w:r>
    </w:p>
    <w:p>
      <w:pPr>
        <w:pStyle w:val="BodyText"/>
      </w:pPr>
      <w:r>
        <w:t xml:space="preserve">Schnase, J.L., M.L. Carroll, R.L. Gill, G.S. Tamkin, J. Li, S.L. Strong, T.P. Maxwell, M.E. Aronne, and C.S. Spradlin. Toward a Monte Carlo approach to selecting climate variables in MaxEnt. PLoS One. 2021. Mar 3;16(3):e0237208.</w:t>
      </w:r>
      <w:r>
        <w:t xml:space="preserve"> </w:t>
      </w:r>
      <w:hyperlink r:id="rId10">
        <w:r>
          <w:rPr>
            <w:rStyle w:val="Hyperlink"/>
          </w:rPr>
          <w:t xml:space="preserve">doi:10.1371/journal.pone.0237208</w:t>
        </w:r>
      </w:hyperlink>
      <w:r>
        <w:t xml:space="preserve">. PMID: 33657125; PMCID: PMC7928495.</w:t>
      </w:r>
    </w:p>
    <w:p>
      <w:pPr>
        <w:pStyle w:val="BodyText"/>
      </w:pPr>
      <w:r>
        <w:t xml:space="preserve">Schnase, J.L. and Carroll, M.L. 2022. Automatic variable selection inf ecological niche modeling: a case study using Cassin’s Sparrow (</w:t>
      </w:r>
      <w:r>
        <w:rPr>
          <w:i/>
          <w:iCs/>
        </w:rPr>
        <w:t xml:space="preserve">Peucaea cassinii</w:t>
      </w:r>
      <w:r>
        <w:t xml:space="preserve">). PLoS One. 2022 Jan 21;17(1):e0257502.</w:t>
      </w:r>
      <w:r>
        <w:t xml:space="preserve"> </w:t>
      </w:r>
      <w:hyperlink r:id="rId11">
        <w:r>
          <w:rPr>
            <w:rStyle w:val="Hyperlink"/>
          </w:rPr>
          <w:t xml:space="preserve">doi: 10.1371/journal.pone.0257502</w:t>
        </w:r>
      </w:hyperlink>
      <w:r>
        <w:t xml:space="preserve">. PMID: 35061658; PMCID: PMC8782318.</w:t>
      </w:r>
    </w:p>
    <w:p>
      <w:pPr>
        <w:pStyle w:val="BodyText"/>
      </w:pPr>
      <w:r>
        <w:t xml:space="preserve">Schnase, J.L., and M.L. Carroll. 2023. “The MMX Toolkit: High-Performance, Reanalysis-Based Climatic Suitability Modeling to Advance Avian Conservation.” In Proceedings of the 2023 Conference on Big Data from Space (BiDS’23): 6-9 November 2023, edited by P. Soille, S. Lumnitz, and S. Albani, 299–303. Austrian Center, Vienna: Publications Office of the European.</w:t>
      </w:r>
      <w:r>
        <w:t xml:space="preserve"> </w:t>
      </w:r>
      <w:hyperlink r:id="rId12">
        <w:r>
          <w:rPr>
            <w:rStyle w:val="Hyperlink"/>
          </w:rPr>
          <w:t xml:space="preserve">https://doi.org/10.2760/46796.</w:t>
        </w:r>
      </w:hyperlink>
    </w:p>
    <w:p>
      <w:pPr>
        <w:pStyle w:val="BodyText"/>
      </w:pPr>
      <w:r>
        <w:t xml:space="preserve">Schnase, J. L., M. L. Carroll, P. M. Montesano, and V. A. Seamster. 2024. Complex changes in climatic suitability for Cassin’s Sparrow (</w:t>
      </w:r>
      <w:r>
        <w:rPr>
          <w:i/>
          <w:iCs/>
        </w:rPr>
        <w:t xml:space="preserve">Peucaea cassinii</w:t>
      </w:r>
      <w:r>
        <w:t xml:space="preserve">) revealed by retrospective ecological niche modeling. Journal of Field Ornithology 95(1):9.</w:t>
      </w:r>
      <w:r>
        <w:t xml:space="preserve"> </w:t>
      </w:r>
      <w:hyperlink r:id="rId13">
        <w:r>
          <w:rPr>
            <w:rStyle w:val="Hyperlink"/>
          </w:rPr>
          <w:t xml:space="preserve">https://doi.org/10.5751/JFO-00432-950109</w:t>
        </w:r>
      </w:hyperlink>
    </w:p>
    <w:p>
      <w:pPr>
        <w:pStyle w:val="BodyText"/>
      </w:pPr>
      <w:r>
        <w:t xml:space="preserve">Schnase, J. L., M. L. Carroll, P. M. Montesano, and V. A. Seamster. 2025. Shifts in breeding phenology for Cassin’s Sparrow (</w:t>
      </w:r>
      <w:r>
        <w:rPr>
          <w:i/>
          <w:iCs/>
        </w:rPr>
        <w:t xml:space="preserve">Peucaea cassinii</w:t>
      </w:r>
      <w:r>
        <w:t xml:space="preserve">) over four decades. Journal of Field Ornithology 96(3):3.</w:t>
      </w:r>
      <w:r>
        <w:t xml:space="preserve"> </w:t>
      </w:r>
      <w:hyperlink r:id="rId14">
        <w:r>
          <w:rPr>
            <w:rStyle w:val="Hyperlink"/>
          </w:rPr>
          <w:t xml:space="preserve">https://doi.org/10.5751/JFO-00691-960303</w:t>
        </w:r>
      </w:hyperlink>
    </w:p>
    <w:p>
      <w:pPr>
        <w:pStyle w:val="BodyText"/>
      </w:pPr>
      <w:r>
        <w:t xml:space="preserve">Schnase, J. L., M. L. Carroll, P. M. Montesano, and V. A. Seamster. 2026. Shifts in seasonal climatic suitability for Cassin’s Sparrow (</w:t>
      </w:r>
      <w:r>
        <w:rPr>
          <w:i/>
          <w:iCs/>
        </w:rPr>
        <w:t xml:space="preserve">Peucaea cassinii</w:t>
      </w:r>
      <w:r>
        <w:t xml:space="preserve">) over four decades. The Southwestern Naturalist, 70(1):1-17. </w:t>
      </w:r>
      <w:hyperlink r:id="rId15">
        <w:r>
          <w:rPr>
            <w:rStyle w:val="Hyperlink"/>
          </w:rPr>
          <w:t xml:space="preserve">https://doi.org/10.1894/0038-4909-70.1.7</w:t>
        </w:r>
      </w:hyperlink>
    </w:p>
    <w:p>
      <w:r>
        <w:pict>
          <v:rect style="width:0;height:1.5pt" o:hralign="center" o:hrstd="t" o:hr="t"/>
        </w:pict>
      </w:r>
    </w:p>
    <w:p>
      <w:pPr>
        <w:pStyle w:val="FirstParagraph"/>
      </w:pPr>
      <w:r>
        <w:t xml:space="preserve">This manual guides users through the</w:t>
      </w:r>
      <w:r>
        <w:t xml:space="preserve"> </w:t>
      </w:r>
      <w:r>
        <w:rPr>
          <w:b/>
          <w:bCs/>
        </w:rPr>
        <w:t xml:space="preserve">rENM modeling and analysis workflow</w:t>
      </w:r>
      <w:r>
        <w:t xml:space="preserve">. Detailed documentation for individual functions is available within the</w:t>
      </w:r>
      <w:r>
        <w:t xml:space="preserve"> </w:t>
      </w:r>
      <w:r>
        <w:rPr>
          <w:i/>
          <w:iCs/>
        </w:rPr>
        <w:t xml:space="preserve">respective package manuals</w:t>
      </w:r>
      <w:r>
        <w:t xml:space="preserve">.</w:t>
      </w:r>
    </w:p>
    <w:p>
      <w:pPr>
        <w:pStyle w:val="BodyText"/>
      </w:pPr>
      <w:r>
        <w:t xml:space="preserve">The</w:t>
      </w:r>
      <w:r>
        <w:t xml:space="preserve"> </w:t>
      </w:r>
      <w:r>
        <w:rPr>
          <w:b/>
          <w:bCs/>
        </w:rPr>
        <w:t xml:space="preserve">rENM framework</w:t>
      </w:r>
      <w:r>
        <w:t xml:space="preserve"> </w:t>
      </w:r>
      <w:r>
        <w:t xml:space="preserve">is an</w:t>
      </w:r>
      <w:r>
        <w:t xml:space="preserve"> </w:t>
      </w:r>
      <w:r>
        <w:rPr>
          <w:i/>
          <w:iCs/>
        </w:rPr>
        <w:t xml:space="preserve">active research platform</w:t>
      </w:r>
      <w:r>
        <w:t xml:space="preserve"> </w:t>
      </w:r>
      <w:r>
        <w:t xml:space="preserve">under ongoing development. It is provided for</w:t>
      </w:r>
      <w:r>
        <w:t xml:space="preserve"> </w:t>
      </w:r>
      <w:r>
        <w:rPr>
          <w:i/>
          <w:iCs/>
        </w:rPr>
        <w:t xml:space="preserve">educational and research purposes only</w:t>
      </w:r>
      <w:r>
        <w:t xml:space="preserve"> </w:t>
      </w:r>
      <w:r>
        <w:t xml:space="preserve">and is distributed</w:t>
      </w:r>
      <w:r>
        <w:t xml:space="preserve"> </w:t>
      </w:r>
      <w:r>
        <w:rPr>
          <w:b/>
          <w:bCs/>
        </w:rPr>
        <w:t xml:space="preserve">without formal technical support</w:t>
      </w:r>
      <w:r>
        <w:t xml:space="preserve">. Feedback and contributions are welcome.</w:t>
      </w:r>
    </w:p>
    <w:p>
      <w:pPr>
        <w:pStyle w:val="BodyText"/>
      </w:pPr>
      <w:r>
        <w:t xml:space="preserve">Thank you for your interest.</w:t>
      </w:r>
    </w:p>
    <w:p>
      <w:pPr>
        <w:pStyle w:val="BodyText"/>
      </w:pPr>
      <w:r>
        <w:rPr>
          <w:b/>
          <w:bCs/>
        </w:rPr>
        <w:t xml:space="preserve">John Schnase</w:t>
      </w:r>
      <w:r>
        <w:br/>
      </w:r>
      <w:r>
        <w:t xml:space="preserve">rENM.Framework@gmail.com</w:t>
      </w:r>
    </w:p>
    <w:p>
      <w:r>
        <w:br w:type="page"/>
      </w:r>
    </w:p>
    <w:bookmarkEnd w:id="16"/>
    <w:bookmarkStart w:id="24" w:name="the-renm-workflow"/>
    <w:p>
      <w:pPr>
        <w:pStyle w:val="Heading1"/>
      </w:pPr>
      <w:r>
        <w:t xml:space="preserve">2. The rENM Workflow</w:t>
      </w:r>
    </w:p>
    <w:p>
      <w:pPr>
        <w:pStyle w:val="FirstParagraph"/>
      </w:pPr>
      <w:r>
        <w:drawing>
          <wp:inline>
            <wp:extent cx="5334000" cy="502347"/>
            <wp:effectExtent b="0" l="0" r="0" t="0"/>
            <wp:docPr descr="" title="" id="18" name="Picture"/>
            <a:graphic>
              <a:graphicData uri="http://schemas.openxmlformats.org/drawingml/2006/picture">
                <pic:pic>
                  <pic:nvPicPr>
                    <pic:cNvPr descr="images/clipboard-2962903405.png" id="19" name="Picture"/>
                    <pic:cNvPicPr>
                      <a:picLocks noChangeArrowheads="1" noChangeAspect="1"/>
                    </pic:cNvPicPr>
                  </pic:nvPicPr>
                  <pic:blipFill>
                    <a:blip r:embed="rId17"/>
                    <a:stretch>
                      <a:fillRect/>
                    </a:stretch>
                  </pic:blipFill>
                  <pic:spPr bwMode="auto">
                    <a:xfrm>
                      <a:off x="0" y="0"/>
                      <a:ext cx="5334000" cy="502347"/>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rENM processing pipeline</w:t>
      </w:r>
      <w:r>
        <w:t xml:space="preserve"> </w:t>
      </w:r>
      <w:r>
        <w:t xml:space="preserve">consists of</w:t>
      </w:r>
      <w:r>
        <w:t xml:space="preserve"> </w:t>
      </w:r>
      <w:r>
        <w:rPr>
          <w:b/>
          <w:bCs/>
        </w:rPr>
        <w:t xml:space="preserve">five core steps</w:t>
      </w:r>
      <w:r>
        <w:t xml:space="preserve">, including an</w:t>
      </w:r>
      <w:r>
        <w:t xml:space="preserve"> </w:t>
      </w:r>
      <w:r>
        <w:rPr>
          <w:i/>
          <w:iCs/>
        </w:rPr>
        <w:t xml:space="preserve">optional, experimental GenAI-mediated interpretation step</w:t>
      </w:r>
      <w:r>
        <w:t xml:space="preserve">. One way to engage this workflow is by using this</w:t>
      </w:r>
      <w:r>
        <w:t xml:space="preserve"> </w:t>
      </w:r>
      <w:r>
        <w:rPr>
          <w:b/>
          <w:bCs/>
        </w:rPr>
        <w:t xml:space="preserve">Quarto Markdown (.qmd) document</w:t>
      </w:r>
      <w:r>
        <w:t xml:space="preserve"> </w:t>
      </w:r>
      <w:r>
        <w:t xml:space="preserve">as an</w:t>
      </w:r>
      <w:r>
        <w:t xml:space="preserve"> </w:t>
      </w:r>
      <w:r>
        <w:rPr>
          <w:i/>
          <w:iCs/>
        </w:rPr>
        <w:t xml:space="preserve">interactive User Manual</w:t>
      </w:r>
      <w:r>
        <w:t xml:space="preserve">. It becomes a</w:t>
      </w:r>
      <w:r>
        <w:t xml:space="preserve"> </w:t>
      </w:r>
      <w:r>
        <w:rPr>
          <w:b/>
          <w:bCs/>
        </w:rPr>
        <w:t xml:space="preserve">reproducible, executable scientific document</w:t>
      </w:r>
      <w:r>
        <w:t xml:space="preserve"> </w:t>
      </w:r>
      <w:r>
        <w:t xml:space="preserve">that combines</w:t>
      </w:r>
      <w:r>
        <w:t xml:space="preserve"> </w:t>
      </w:r>
      <w:r>
        <w:rPr>
          <w:i/>
          <w:iCs/>
        </w:rPr>
        <w:t xml:space="preserve">code, results,</w:t>
      </w:r>
      <w:r>
        <w:t xml:space="preserve"> </w:t>
      </w:r>
      <w:r>
        <w:t xml:space="preserve">and</w:t>
      </w:r>
      <w:r>
        <w:t xml:space="preserve"> </w:t>
      </w:r>
      <w:r>
        <w:rPr>
          <w:i/>
          <w:iCs/>
        </w:rPr>
        <w:t xml:space="preserve">narrative</w:t>
      </w:r>
      <w:r>
        <w:t xml:space="preserve"> </w:t>
      </w:r>
      <w:r>
        <w:t xml:space="preserve">into a single, renderable file.</w:t>
      </w:r>
    </w:p>
    <w:bookmarkStart w:id="20" w:name="using-the-quarto-document"/>
    <w:p>
      <w:pPr>
        <w:pStyle w:val="Heading2"/>
      </w:pPr>
      <w:r>
        <w:t xml:space="preserve">2.1</w:t>
      </w:r>
      <w:r>
        <w:t xml:space="preserve"> </w:t>
      </w:r>
      <w:r>
        <w:rPr>
          <w:b/>
          <w:bCs/>
        </w:rPr>
        <w:t xml:space="preserve">Using the Quarto document</w:t>
      </w:r>
    </w:p>
    <w:p>
      <w:pPr>
        <w:numPr>
          <w:ilvl w:val="0"/>
          <w:numId w:val="1001"/>
        </w:numPr>
      </w:pPr>
      <w:r>
        <w:t xml:space="preserve">After initially configuring your local</w:t>
      </w:r>
      <w:r>
        <w:t xml:space="preserve"> </w:t>
      </w:r>
      <w:hyperlink w:anchor="hostenvironment">
        <w:r>
          <w:rPr>
            <w:rStyle w:val="Hyperlink"/>
          </w:rPr>
          <w:t xml:space="preserve">host environment</w:t>
        </w:r>
      </w:hyperlink>
      <w:r>
        <w:t xml:space="preserve"> </w:t>
      </w:r>
      <w:r>
        <w:t xml:space="preserve">and</w:t>
      </w:r>
      <w:r>
        <w:t xml:space="preserve"> </w:t>
      </w:r>
      <w:hyperlink w:anchor="hostenvironment">
        <w:r>
          <w:rPr>
            <w:rStyle w:val="Hyperlink"/>
          </w:rPr>
          <w:t xml:space="preserve">RStudio environment</w:t>
        </w:r>
      </w:hyperlink>
      <w:r>
        <w:t xml:space="preserve">, you can set the species</w:t>
      </w:r>
      <w:r>
        <w:t xml:space="preserve"> </w:t>
      </w:r>
      <w:hyperlink w:anchor="bandingcode">
        <w:r>
          <w:rPr>
            <w:rStyle w:val="Hyperlink"/>
          </w:rPr>
          <w:t xml:space="preserve">banding code</w:t>
        </w:r>
      </w:hyperlink>
      <w:r>
        <w:t xml:space="preserve"> </w:t>
      </w:r>
      <w:r>
        <w:t xml:space="preserve">and step through each of the following explanations and code blocks in sequence to perform the processing steps in the</w:t>
      </w:r>
      <w:r>
        <w:t xml:space="preserve"> </w:t>
      </w:r>
      <w:r>
        <w:rPr>
          <w:b/>
          <w:bCs/>
        </w:rPr>
        <w:t xml:space="preserve">rENM workflow</w:t>
      </w:r>
      <w:r>
        <w:t xml:space="preserve">.</w:t>
      </w:r>
    </w:p>
    <w:p>
      <w:pPr>
        <w:numPr>
          <w:ilvl w:val="0"/>
          <w:numId w:val="1001"/>
        </w:numPr>
      </w:pPr>
      <w:r>
        <w:t xml:space="preserve">Alternatively, from the</w:t>
      </w:r>
      <w:r>
        <w:t xml:space="preserve"> </w:t>
      </w:r>
      <w:r>
        <w:rPr>
          <w:i/>
          <w:iCs/>
        </w:rPr>
        <w:t xml:space="preserve">RStudio</w:t>
      </w:r>
      <w:r>
        <w:t xml:space="preserve"> </w:t>
      </w:r>
      <w:r>
        <w:rPr>
          <w:b/>
          <w:bCs/>
        </w:rPr>
        <w:t xml:space="preserve">Run</w:t>
      </w:r>
      <w:r>
        <w:t xml:space="preserve"> </w:t>
      </w:r>
      <w:r>
        <w:t xml:space="preserve">drop-down menu, select</w:t>
      </w:r>
      <w:r>
        <w:t xml:space="preserve"> </w:t>
      </w:r>
      <w:r>
        <w:rPr>
          <w:i/>
          <w:iCs/>
        </w:rPr>
        <w:t xml:space="preserve">Restart R and Run All Chunks</w:t>
      </w:r>
      <w:r>
        <w:t xml:space="preserve">. This performs an</w:t>
      </w:r>
      <w:r>
        <w:t xml:space="preserve"> </w:t>
      </w:r>
      <w:r>
        <w:rPr>
          <w:b/>
          <w:bCs/>
        </w:rPr>
        <w:t xml:space="preserve">automatic batch execution</w:t>
      </w:r>
      <w:r>
        <w:t xml:space="preserve"> </w:t>
      </w:r>
      <w:r>
        <w:t xml:space="preserve">of the workflow.</w:t>
      </w:r>
    </w:p>
    <w:p>
      <w:pPr>
        <w:numPr>
          <w:ilvl w:val="0"/>
          <w:numId w:val="1001"/>
        </w:numPr>
      </w:pPr>
      <w:r>
        <w:t xml:space="preserve">Finally, you may wish to copy the</w:t>
      </w:r>
      <w:r>
        <w:t xml:space="preserve"> </w:t>
      </w:r>
      <w:r>
        <w:rPr>
          <w:i/>
          <w:iCs/>
        </w:rPr>
        <w:t xml:space="preserve">user-manual.qmd</w:t>
      </w:r>
      <w:r>
        <w:t xml:space="preserve"> </w:t>
      </w:r>
      <w:r>
        <w:t xml:space="preserve">file, rename it, and use it as a</w:t>
      </w:r>
      <w:r>
        <w:t xml:space="preserve"> </w:t>
      </w:r>
      <w:r>
        <w:rPr>
          <w:b/>
          <w:bCs/>
        </w:rPr>
        <w:t xml:space="preserve">customized, reproducible analysis template</w:t>
      </w:r>
      <w:r>
        <w:t xml:space="preserve"> </w:t>
      </w:r>
      <w:r>
        <w:t xml:space="preserve">for your own species or study system.</w:t>
      </w:r>
    </w:p>
    <w:bookmarkEnd w:id="20"/>
    <w:bookmarkStart w:id="22" w:name="automated-scripting"/>
    <w:p>
      <w:pPr>
        <w:pStyle w:val="Heading2"/>
      </w:pPr>
      <w:r>
        <w:t xml:space="preserve">2.2</w:t>
      </w:r>
      <w:r>
        <w:t xml:space="preserve"> </w:t>
      </w:r>
      <w:r>
        <w:rPr>
          <w:b/>
          <w:bCs/>
        </w:rPr>
        <w:t xml:space="preserve">Automated scripting</w:t>
      </w:r>
    </w:p>
    <w:p>
      <w:pPr>
        <w:pStyle w:val="FirstParagraph"/>
      </w:pPr>
      <w:r>
        <w:t xml:space="preserve">Another option is to use the rENM.R script available in the rENM.scripts package at</w:t>
      </w:r>
      <w:r>
        <w:t xml:space="preserve"> </w:t>
      </w:r>
      <w:hyperlink r:id="rId21">
        <w:r>
          <w:rPr>
            <w:rStyle w:val="Hyperlink"/>
          </w:rPr>
          <w:t xml:space="preserve">https://github.com/rENM-Framework/rENM-scripts</w:t>
        </w:r>
      </w:hyperlink>
      <w:r>
        <w:t xml:space="preserve">. Down load the script and run the entire processing pipeline from the RStudio console by providing a four-letter banding code, something like this: rENM(</w:t>
      </w:r>
      <w:r>
        <w:t xml:space="preserve">“CASP”</w:t>
      </w:r>
      <w:r>
        <w:t xml:space="preserve">).</w:t>
      </w:r>
    </w:p>
    <w:bookmarkEnd w:id="22"/>
    <w:bookmarkStart w:id="23" w:name="document-rendering-options"/>
    <w:p>
      <w:pPr>
        <w:pStyle w:val="Heading2"/>
      </w:pPr>
      <w:r>
        <w:t xml:space="preserve">2.3</w:t>
      </w:r>
      <w:r>
        <w:t xml:space="preserve"> </w:t>
      </w:r>
      <w:r>
        <w:rPr>
          <w:b/>
          <w:bCs/>
        </w:rPr>
        <w:t xml:space="preserve">Document rendering options</w:t>
      </w:r>
    </w:p>
    <w:p>
      <w:pPr>
        <w:pStyle w:val="FirstParagraph"/>
      </w:pPr>
      <w:r>
        <w:t xml:space="preserve">Keep in mind that if you do use the</w:t>
      </w:r>
      <w:r>
        <w:t xml:space="preserve"> </w:t>
      </w:r>
      <w:r>
        <w:rPr>
          <w:i/>
          <w:iCs/>
        </w:rPr>
        <w:t xml:space="preserve">user-manual.qmd</w:t>
      </w:r>
      <w:r>
        <w:t xml:space="preserve"> </w:t>
      </w:r>
      <w:r>
        <w:t xml:space="preserve">file as a template for your own species or study system, RStudio provides several rendering options. From the</w:t>
      </w:r>
      <w:r>
        <w:t xml:space="preserve"> </w:t>
      </w:r>
      <w:r>
        <w:rPr>
          <w:b/>
          <w:bCs/>
        </w:rPr>
        <w:t xml:space="preserve">Render</w:t>
      </w:r>
      <w:r>
        <w:t xml:space="preserve"> </w:t>
      </w:r>
      <w:r>
        <w:t xml:space="preserve">drop-down menu, you can create .docx, .pdf, .html, and .ipynb Jupyter Notebook versions of your new document.</w:t>
      </w:r>
    </w:p>
    <w:p>
      <w:r>
        <w:br w:type="page"/>
      </w:r>
    </w:p>
    <w:bookmarkEnd w:id="23"/>
    <w:bookmarkEnd w:id="24"/>
    <w:bookmarkStart w:id="27" w:name="hostenvironment"/>
    <w:p>
      <w:pPr>
        <w:pStyle w:val="Heading1"/>
      </w:pPr>
      <w:r>
        <w:t xml:space="preserve">3. Configuring the Host Environment</w:t>
      </w:r>
    </w:p>
    <w:p>
      <w:pPr>
        <w:pStyle w:val="FirstParagraph"/>
      </w:pPr>
      <w:r>
        <w:t xml:space="preserve">The most straightforward way to configure your local computing environment is to complete the initial setup steps in a terminal window. The examples provided here assume a macOS environment using the Bash shell, which is the system I use.</w:t>
      </w:r>
    </w:p>
    <w:p>
      <w:pPr>
        <w:pStyle w:val="BodyText"/>
      </w:pPr>
      <w:r>
        <w:t xml:space="preserve">The rENM framework relies on a simple, standardized filesystem structure. At the top level is a base project directory. Within this directory, a</w:t>
      </w:r>
      <w:r>
        <w:t xml:space="preserve"> </w:t>
      </w:r>
      <w:r>
        <w:rPr>
          <w:rStyle w:val="VerbatimChar"/>
        </w:rPr>
        <w:t xml:space="preserve">data</w:t>
      </w:r>
      <w:r>
        <w:t xml:space="preserve"> </w:t>
      </w:r>
      <w:r>
        <w:t xml:space="preserve">subdirectory stores input datasets, including species occurrence records and environmental predictor variables. In this initial setup, you will install an example dataset and create a symbolic link that points to this sample collection.</w:t>
      </w:r>
    </w:p>
    <w:p>
      <w:pPr>
        <w:pStyle w:val="BodyText"/>
      </w:pPr>
      <w:r>
        <w:t xml:space="preserve">Model outputs and analysis results are written to a</w:t>
      </w:r>
      <w:r>
        <w:t xml:space="preserve"> </w:t>
      </w:r>
      <w:r>
        <w:rPr>
          <w:rStyle w:val="VerbatimChar"/>
        </w:rPr>
        <w:t xml:space="preserve">runs</w:t>
      </w:r>
      <w:r>
        <w:t xml:space="preserve"> </w:t>
      </w:r>
      <w:r>
        <w:t xml:space="preserve">subdirectory within the project directory, providing a clear and reproducible organization for all rENM analyses.</w:t>
      </w:r>
    </w:p>
    <w:p>
      <w:pPr>
        <w:pStyle w:val="BodyText"/>
      </w:pPr>
      <w:r>
        <w:t xml:space="preserve">PROJECT_DIRECTORY/</w:t>
      </w:r>
      <w:r>
        <w:br/>
      </w:r>
      <w:r>
        <w:t xml:space="preserve">|___ data -&gt; (symbolic link to example_data)</w:t>
      </w:r>
      <w:r>
        <w:br/>
      </w:r>
      <w:r>
        <w:t xml:space="preserve">|___ example_data/…</w:t>
      </w:r>
      <w:r>
        <w:br/>
      </w:r>
      <w:r>
        <w:t xml:space="preserve">|___ runs/…</w:t>
      </w:r>
    </w:p>
    <w:p>
      <w:pPr>
        <w:pStyle w:val="BodyText"/>
      </w:pPr>
      <w:r>
        <w:t xml:space="preserve">You only need to configure your host environment once. After completing this initial setup, you can move into the RStudio environment to finalize the rENM framework installation and begin your analyses.</w:t>
      </w:r>
    </w:p>
    <w:p>
      <w:pPr>
        <w:pStyle w:val="BodyText"/>
      </w:pPr>
      <w:r>
        <w:t xml:space="preserve">In the examples that follow, I use</w:t>
      </w:r>
      <w:r>
        <w:t xml:space="preserve"> </w:t>
      </w:r>
      <w:r>
        <w:rPr>
          <w:rStyle w:val="VerbatimChar"/>
        </w:rPr>
        <w:t xml:space="preserve">~/rENMtest</w:t>
      </w:r>
      <w:r>
        <w:t xml:space="preserve"> </w:t>
      </w:r>
      <w:r>
        <w:t xml:space="preserve">as the project directory for illustration. In practice, you should choose a directory name that fits your own workflow. For example, I typically use</w:t>
      </w:r>
      <w:r>
        <w:t xml:space="preserve"> </w:t>
      </w:r>
      <w:r>
        <w:rPr>
          <w:rStyle w:val="VerbatimChar"/>
        </w:rPr>
        <w:t xml:space="preserve">~/rENM</w:t>
      </w:r>
      <w:r>
        <w:t xml:space="preserve"> </w:t>
      </w:r>
      <w:r>
        <w:t xml:space="preserve">in my own work. If you’d prefer to run these script outside of the RStudio ecosystem, they’re available in the GitHub repository at</w:t>
      </w:r>
      <w:r>
        <w:t xml:space="preserve"> </w:t>
      </w:r>
      <w:hyperlink r:id="rId21">
        <w:r>
          <w:rPr>
            <w:rStyle w:val="Hyperlink"/>
          </w:rPr>
          <w:t xml:space="preserve">https://github.com/rENM-Framework/rENM-scripts</w:t>
        </w:r>
      </w:hyperlink>
      <w:r>
        <w:t xml:space="preserve">.</w:t>
      </w:r>
    </w:p>
    <w:bookmarkStart w:id="25" w:name="creating-the-project-directory"/>
    <w:p>
      <w:pPr>
        <w:pStyle w:val="Heading2"/>
      </w:pPr>
      <w:r>
        <w:t xml:space="preserve">3.1 Creating the project directory</w:t>
      </w:r>
    </w:p>
    <w:p>
      <w:pPr>
        <w:pStyle w:val="FirstParagraph"/>
      </w:pPr>
      <w:r>
        <w:t xml:space="preserve">You’ll first need to create the base project directory and the</w:t>
      </w:r>
      <w:r>
        <w:t xml:space="preserve"> </w:t>
      </w:r>
      <w:r>
        <w:rPr>
          <w:rStyle w:val="VerbatimChar"/>
        </w:rPr>
        <w:t xml:space="preserve">runs</w:t>
      </w:r>
      <w:r>
        <w:t xml:space="preserve"> </w:t>
      </w:r>
      <w:r>
        <w:t xml:space="preserve">subdirectory. Open a terminal window and run the following commands:</w:t>
      </w:r>
    </w:p>
    <w:p>
      <w:pPr>
        <w:pStyle w:val="SourceCode"/>
      </w:pPr>
      <w:r>
        <w:rPr>
          <w:rStyle w:val="CommentTok"/>
        </w:rPr>
        <w:t xml:space="preserve">#!/usr/bin/env bash</w:t>
      </w:r>
      <w:r>
        <w:br/>
      </w:r>
      <w:r>
        <w:br/>
      </w:r>
      <w:r>
        <w:rPr>
          <w:rStyle w:val="CommentTok"/>
        </w:rPr>
        <w:t xml:space="preserve"># set project directory name</w:t>
      </w:r>
      <w:r>
        <w:br/>
      </w:r>
      <w:r>
        <w:rPr>
          <w:rStyle w:val="VariableTok"/>
        </w:rPr>
        <w:t xml:space="preserve">PROJECT_DIRECTORY</w:t>
      </w:r>
      <w:r>
        <w:rPr>
          <w:rStyle w:val="OperatorTok"/>
        </w:rPr>
        <w:t xml:space="preserve">=</w:t>
      </w:r>
      <w:r>
        <w:rPr>
          <w:rStyle w:val="StringTok"/>
        </w:rPr>
        <w:t xml:space="preserve">"</w:t>
      </w:r>
      <w:r>
        <w:rPr>
          <w:rStyle w:val="VariableTok"/>
        </w:rPr>
        <w:t xml:space="preserve">$HOME</w:t>
      </w:r>
      <w:r>
        <w:rPr>
          <w:rStyle w:val="StringTok"/>
        </w:rPr>
        <w:t xml:space="preserve">/rENMtest"</w:t>
      </w:r>
      <w:r>
        <w:br/>
      </w:r>
      <w:r>
        <w:br/>
      </w:r>
      <w:r>
        <w:rPr>
          <w:rStyle w:val="CommentTok"/>
        </w:rPr>
        <w:t xml:space="preserve"># create initial directory structure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$PROJECT_DIRECTORY</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$PROJECT_DIRECTORY</w:t>
      </w:r>
      <w:r>
        <w:rPr>
          <w:rStyle w:val="StringTok"/>
        </w:rPr>
        <w:t xml:space="preserve">/runs"</w:t>
      </w:r>
    </w:p>
    <w:bookmarkEnd w:id="25"/>
    <w:bookmarkStart w:id="26" w:name="installing-the-example-data-set"/>
    <w:p>
      <w:pPr>
        <w:pStyle w:val="Heading2"/>
      </w:pPr>
      <w:r>
        <w:t xml:space="preserve">3.2 Installing the example data set</w:t>
      </w:r>
    </w:p>
    <w:p>
      <w:pPr>
        <w:pStyle w:val="FirstParagraph"/>
      </w:pPr>
      <w:r>
        <w:t xml:space="preserve">Next, you’ll want to install the example data set. Make sure your current working directory is the project base directory you just created, then run the following commands from a terminal window:</w:t>
      </w:r>
    </w:p>
    <w:p>
      <w:pPr>
        <w:pStyle w:val="SourceCode"/>
      </w:pPr>
      <w:r>
        <w:rPr>
          <w:rStyle w:val="CommentTok"/>
        </w:rPr>
        <w:t xml:space="preserve">#!/usr/bin/env bash</w:t>
      </w:r>
      <w:r>
        <w:br/>
      </w:r>
      <w:r>
        <w:br/>
      </w:r>
      <w:r>
        <w:rPr>
          <w:rStyle w:val="CommentTok"/>
        </w:rPr>
        <w:t xml:space="preserve"># set project directory name (same as above ...)</w:t>
      </w:r>
      <w:r>
        <w:br/>
      </w:r>
      <w:r>
        <w:rPr>
          <w:rStyle w:val="VariableTok"/>
        </w:rPr>
        <w:t xml:space="preserve">PROJECT_DIRECTORY</w:t>
      </w:r>
      <w:r>
        <w:rPr>
          <w:rStyle w:val="OperatorTok"/>
        </w:rPr>
        <w:t xml:space="preserve">=</w:t>
      </w:r>
      <w:r>
        <w:rPr>
          <w:rStyle w:val="StringTok"/>
        </w:rPr>
        <w:t xml:space="preserve">"</w:t>
      </w:r>
      <w:r>
        <w:rPr>
          <w:rStyle w:val="VariableTok"/>
        </w:rPr>
        <w:t xml:space="preserve">$HOME</w:t>
      </w:r>
      <w:r>
        <w:rPr>
          <w:rStyle w:val="StringTok"/>
        </w:rPr>
        <w:t xml:space="preserve">/rENMtest"</w:t>
      </w:r>
      <w:r>
        <w:rPr>
          <w:rStyle w:val="NormalTok"/>
        </w:rPr>
        <w:t xml:space="preserve"> </w:t>
      </w:r>
      <w:r>
        <w:br/>
      </w:r>
      <w:r>
        <w:rPr>
          <w:rStyle w:val="BuiltInTok"/>
        </w:rPr>
        <w:t xml:space="preserve">cd</w:t>
      </w:r>
      <w:r>
        <w:rPr>
          <w:rStyle w:val="NormalTok"/>
        </w:rPr>
        <w:t xml:space="preserve"> </w:t>
      </w:r>
      <w:r>
        <w:rPr>
          <w:rStyle w:val="VariableTok"/>
        </w:rPr>
        <w:t xml:space="preserve">${PROJECT_DIRECTORY}</w:t>
      </w:r>
      <w:r>
        <w:br/>
      </w:r>
      <w:r>
        <w:br/>
      </w:r>
      <w:r>
        <w:rPr>
          <w:rStyle w:val="CommentTok"/>
        </w:rPr>
        <w:t xml:space="preserve"># download and unzip example data set</w:t>
      </w:r>
      <w:r>
        <w:br/>
      </w:r>
      <w:r>
        <w:rPr>
          <w:rStyle w:val="VariableTok"/>
        </w:rPr>
        <w:t xml:space="preserve">DATA_URL</w:t>
      </w:r>
      <w:r>
        <w:rPr>
          <w:rStyle w:val="OperatorTok"/>
        </w:rPr>
        <w:t xml:space="preserve">=</w:t>
      </w:r>
      <w:r>
        <w:rPr>
          <w:rStyle w:val="StringTok"/>
        </w:rPr>
        <w:t xml:space="preserve">"https://storage.googleapis.com/renm_data/example_data.zip"</w:t>
      </w:r>
      <w:r>
        <w:br/>
      </w:r>
      <w:r>
        <w:rPr>
          <w:rStyle w:val="VariableTok"/>
        </w:rPr>
        <w:t xml:space="preserve">ZIP_FILE</w:t>
      </w:r>
      <w:r>
        <w:rPr>
          <w:rStyle w:val="OperatorTok"/>
        </w:rPr>
        <w:t xml:space="preserve">=</w:t>
      </w:r>
      <w:r>
        <w:rPr>
          <w:rStyle w:val="StringTok"/>
        </w:rPr>
        <w:t xml:space="preserve">"example_data.zip"</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${ZIP_FILE}</w:t>
      </w:r>
      <w:r>
        <w:rPr>
          <w:rStyle w:val="StringTok"/>
        </w:rPr>
        <w:t xml:space="preserve">"</w:t>
      </w:r>
      <w:r>
        <w:rPr>
          <w:rStyle w:val="NormalTok"/>
        </w:rPr>
        <w:t xml:space="preserve"> </w:t>
      </w:r>
      <w:r>
        <w:rPr>
          <w:rStyle w:val="StringTok"/>
        </w:rPr>
        <w:t xml:space="preserve">"</w:t>
      </w:r>
      <w:r>
        <w:rPr>
          <w:rStyle w:val="VariableTok"/>
        </w:rPr>
        <w:t xml:space="preserve">${DATA_URL}</w:t>
      </w:r>
      <w:r>
        <w:rPr>
          <w:rStyle w:val="StringTok"/>
        </w:rPr>
        <w:t xml:space="preserve">"</w:t>
      </w:r>
      <w:r>
        <w:br/>
      </w:r>
      <w:r>
        <w:rPr>
          <w:rStyle w:val="FunctionTok"/>
        </w:rPr>
        <w:t xml:space="preserve">unzip</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${ZIP_FILE}</w:t>
      </w:r>
      <w:r>
        <w:rPr>
          <w:rStyle w:val="StringTok"/>
        </w:rPr>
        <w:t xml:space="preserve">"</w:t>
      </w:r>
      <w:r>
        <w:br/>
      </w:r>
      <w:r>
        <w:br/>
      </w:r>
      <w:r>
        <w:rPr>
          <w:rStyle w:val="CommentTok"/>
        </w:rPr>
        <w:t xml:space="preserve"># create symbolic link</w:t>
      </w:r>
      <w:r>
        <w:br/>
      </w:r>
      <w:r>
        <w:rPr>
          <w:rStyle w:val="FunctionTok"/>
        </w:rPr>
        <w:t xml:space="preserve">ln</w:t>
      </w:r>
      <w:r>
        <w:rPr>
          <w:rStyle w:val="NormalTok"/>
        </w:rPr>
        <w:t xml:space="preserve"> </w:t>
      </w:r>
      <w:r>
        <w:rPr>
          <w:rStyle w:val="AttributeTok"/>
        </w:rPr>
        <w:t xml:space="preserve">-sfn</w:t>
      </w:r>
      <w:r>
        <w:rPr>
          <w:rStyle w:val="NormalTok"/>
        </w:rPr>
        <w:t xml:space="preserve"> example_data data</w:t>
      </w:r>
      <w:r>
        <w:br/>
      </w:r>
      <w:r>
        <w:br/>
      </w:r>
      <w:r>
        <w:rPr>
          <w:rStyle w:val="CommentTok"/>
        </w:rPr>
        <w:t xml:space="preserve"># clean up the installation</w:t>
      </w:r>
      <w:r>
        <w:br/>
      </w:r>
      <w:r>
        <w:rPr>
          <w:rStyle w:val="FunctionTok"/>
        </w:rPr>
        <w:t xml:space="preserve">rm</w:t>
      </w:r>
      <w:r>
        <w:rPr>
          <w:rStyle w:val="NormalTok"/>
        </w:rPr>
        <w:t xml:space="preserve"> </w:t>
      </w:r>
      <w:r>
        <w:rPr>
          <w:rStyle w:val="AttributeTok"/>
        </w:rPr>
        <w:t xml:space="preserve">-rf</w:t>
      </w:r>
      <w:r>
        <w:rPr>
          <w:rStyle w:val="NormalTok"/>
        </w:rPr>
        <w:t xml:space="preserve"> __MACOSX</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$ZIP_FILE</w:t>
      </w:r>
      <w:r>
        <w:rPr>
          <w:rStyle w:val="StringTok"/>
        </w:rPr>
        <w:t xml:space="preserve">"</w:t>
      </w:r>
    </w:p>
    <w:bookmarkEnd w:id="26"/>
    <w:bookmarkEnd w:id="27"/>
    <w:bookmarkStart w:id="31" w:name="rstudioenvironment"/>
    <w:p>
      <w:pPr>
        <w:pStyle w:val="Heading1"/>
      </w:pPr>
      <w:r>
        <w:t xml:space="preserve">4. Configuring the RStudio Environment</w:t>
      </w:r>
    </w:p>
    <w:p>
      <w:pPr>
        <w:pStyle w:val="FirstParagraph"/>
      </w:pPr>
      <w:r>
        <w:t xml:space="preserve">From this point forward, all work is performed in the RStudio environment using R. Begin by specifying the location of the base project directory you created during the previous setup steps. This allows both RStudio and the rENM framework to locate and manage project files consistently.</w:t>
      </w:r>
    </w:p>
    <w:bookmarkStart w:id="28" w:name="setting-the-project-directory-location"/>
    <w:p>
      <w:pPr>
        <w:pStyle w:val="Heading2"/>
      </w:pPr>
      <w:r>
        <w:t xml:space="preserve">4.1 Setting the project directory location</w:t>
      </w:r>
    </w:p>
    <w:p>
      <w:pPr>
        <w:pStyle w:val="FirstParagraph"/>
      </w:pPr>
      <w:r>
        <w:t xml:space="preserve">The following command defines this location in the</w:t>
      </w:r>
      <w:r>
        <w:t xml:space="preserve"> </w:t>
      </w:r>
      <w:r>
        <w:rPr>
          <w:rStyle w:val="VerbatimChar"/>
        </w:rPr>
        <w:t xml:space="preserve">.Renviron</w:t>
      </w:r>
      <w:r>
        <w:t xml:space="preserve"> </w:t>
      </w:r>
      <w:r>
        <w:t xml:space="preserve">file. This step only needs to be completed once during the initial setup. After running the command, I recommend that you leave it commented out in future sessions. Be sure that the base directory specified in this command matches the directory you created in the previous steps.</w:t>
      </w:r>
    </w:p>
    <w:p>
      <w:pPr>
        <w:pStyle w:val="SourceCode"/>
      </w:pPr>
      <w:r>
        <w:rPr>
          <w:rStyle w:val="CommentTok"/>
        </w:rPr>
        <w:t xml:space="preserve"># # set the location of the project directory</w:t>
      </w:r>
      <w:r>
        <w:br/>
      </w:r>
      <w:r>
        <w:rPr>
          <w:rStyle w:val="CommentTok"/>
        </w:rPr>
        <w:t xml:space="preserve"># write(</w:t>
      </w:r>
      <w:r>
        <w:br/>
      </w:r>
      <w:r>
        <w:rPr>
          <w:rStyle w:val="CommentTok"/>
        </w:rPr>
        <w:t xml:space="preserve">#   paste0('RENM_PROJECT_DIR="', file.path(Sys.getenv("HOME"), "rENMtest")),</w:t>
      </w:r>
      <w:r>
        <w:br/>
      </w:r>
      <w:r>
        <w:rPr>
          <w:rStyle w:val="CommentTok"/>
        </w:rPr>
        <w:t xml:space="preserve">#   file = "~/.Renviron",</w:t>
      </w:r>
      <w:r>
        <w:br/>
      </w:r>
      <w:r>
        <w:rPr>
          <w:rStyle w:val="CommentTok"/>
        </w:rPr>
        <w:t xml:space="preserve">#   append = TRUE</w:t>
      </w:r>
      <w:r>
        <w:br/>
      </w:r>
      <w:r>
        <w:rPr>
          <w:rStyle w:val="CommentTok"/>
        </w:rPr>
        <w:t xml:space="preserve"># )</w:t>
      </w:r>
      <w:r>
        <w:br/>
      </w:r>
      <w:r>
        <w:rPr>
          <w:rStyle w:val="CommentTok"/>
        </w:rPr>
        <w:t xml:space="preserve"># s</w:t>
      </w:r>
      <w:r>
        <w:br/>
      </w:r>
      <w:r>
        <w:rPr>
          <w:rStyle w:val="CommentTok"/>
        </w:rPr>
        <w:t xml:space="preserve"># # reload (or restart R)</w:t>
      </w:r>
      <w:r>
        <w:br/>
      </w:r>
      <w:r>
        <w:rPr>
          <w:rStyle w:val="CommentTok"/>
        </w:rPr>
        <w:t xml:space="preserve"># readRenviron("~/.Renviron")</w:t>
      </w:r>
      <w:r>
        <w:br/>
      </w:r>
      <w:r>
        <w:rPr>
          <w:rStyle w:val="CommentTok"/>
        </w:rPr>
        <w:t xml:space="preserve"># Sys.getenv("RENM_PROJECT_DIR")</w:t>
      </w:r>
    </w:p>
    <w:bookmarkEnd w:id="28"/>
    <w:bookmarkStart w:id="29" w:name="installing-the-framework-packages"/>
    <w:p>
      <w:pPr>
        <w:pStyle w:val="Heading2"/>
      </w:pPr>
      <w:r>
        <w:t xml:space="preserve">4.2 Installing the framework packages</w:t>
      </w:r>
    </w:p>
    <w:p>
      <w:pPr>
        <w:pStyle w:val="FirstParagraph"/>
      </w:pPr>
      <w:r>
        <w:t xml:space="preserve">Next, install the rENM framework’s collection of modular packages. These can be obtained directly from the project’s GitHub repository, as shown below. The framework currently consists of six modules. This installation step only needs to be completed once.</w:t>
      </w:r>
    </w:p>
    <w:p>
      <w:pPr>
        <w:pStyle w:val="SourceCode"/>
      </w:pPr>
      <w:r>
        <w:rPr>
          <w:rStyle w:val="CommentTok"/>
        </w:rPr>
        <w:t xml:space="preserve"># # install rENM framework packates from the GitHub repository</w:t>
      </w:r>
      <w:r>
        <w:br/>
      </w:r>
      <w:r>
        <w:rPr>
          <w:rStyle w:val="CommentTok"/>
        </w:rPr>
        <w:t xml:space="preserve"># install.packages("devtools")</w:t>
      </w:r>
      <w:r>
        <w:br/>
      </w:r>
      <w:r>
        <w:rPr>
          <w:rStyle w:val="CommentTok"/>
        </w:rPr>
        <w:t xml:space="preserve"># devtools::install_github("rENM-Framework/rENM.core")</w:t>
      </w:r>
      <w:r>
        <w:br/>
      </w:r>
      <w:r>
        <w:rPr>
          <w:rStyle w:val="CommentTok"/>
        </w:rPr>
        <w:t xml:space="preserve"># devtools::install_github("rENM-Framework/rENM.data")</w:t>
      </w:r>
      <w:r>
        <w:br/>
      </w:r>
      <w:r>
        <w:rPr>
          <w:rStyle w:val="CommentTok"/>
        </w:rPr>
        <w:t xml:space="preserve"># devtools::install_github("rENM-Framework/rENM.model")</w:t>
      </w:r>
      <w:r>
        <w:br/>
      </w:r>
      <w:r>
        <w:rPr>
          <w:rStyle w:val="CommentTok"/>
        </w:rPr>
        <w:t xml:space="preserve"># devtools::install_github("rENM-Framework/rENM.analysis")</w:t>
      </w:r>
      <w:r>
        <w:br/>
      </w:r>
      <w:r>
        <w:rPr>
          <w:rStyle w:val="CommentTok"/>
        </w:rPr>
        <w:t xml:space="preserve"># devtools::install_github("rENM-Framework/rENM.reports")</w:t>
      </w:r>
      <w:r>
        <w:br/>
      </w:r>
      <w:r>
        <w:rPr>
          <w:rStyle w:val="CommentTok"/>
        </w:rPr>
        <w:t xml:space="preserve"># devtools::install_github("rENM-Framework/rENM.ai")</w:t>
      </w:r>
    </w:p>
    <w:bookmarkEnd w:id="29"/>
    <w:bookmarkStart w:id="30" w:name="loading-the-renm-framework-modules"/>
    <w:p>
      <w:pPr>
        <w:pStyle w:val="Heading2"/>
      </w:pPr>
      <w:r>
        <w:t xml:space="preserve">4.3 Loading the rENM framework modules</w:t>
      </w:r>
    </w:p>
    <w:p>
      <w:pPr>
        <w:pStyle w:val="FirstParagraph"/>
      </w:pPr>
      <w:r>
        <w:t xml:space="preserve">Now, load the installed rENM framework packages.</w:t>
      </w:r>
    </w:p>
    <w:p>
      <w:pPr>
        <w:pStyle w:val="SourceCode"/>
      </w:pPr>
      <w:r>
        <w:rPr>
          <w:rStyle w:val="CommentTok"/>
        </w:rPr>
        <w:t xml:space="preserve"># load the installed rENM framework packages</w:t>
      </w:r>
      <w:r>
        <w:br/>
      </w:r>
      <w:r>
        <w:rPr>
          <w:rStyle w:val="FunctionTok"/>
        </w:rPr>
        <w:t xml:space="preserve">library</w:t>
      </w:r>
      <w:r>
        <w:rPr>
          <w:rStyle w:val="NormalTok"/>
        </w:rPr>
        <w:t xml:space="preserve">(rENM.core)</w:t>
      </w:r>
      <w:r>
        <w:br/>
      </w:r>
      <w:r>
        <w:rPr>
          <w:rStyle w:val="FunctionTok"/>
        </w:rPr>
        <w:t xml:space="preserve">library</w:t>
      </w:r>
      <w:r>
        <w:rPr>
          <w:rStyle w:val="NormalTok"/>
        </w:rPr>
        <w:t xml:space="preserve">(rENM.data)</w:t>
      </w:r>
      <w:r>
        <w:br/>
      </w:r>
      <w:r>
        <w:rPr>
          <w:rStyle w:val="FunctionTok"/>
        </w:rPr>
        <w:t xml:space="preserve">library</w:t>
      </w:r>
      <w:r>
        <w:rPr>
          <w:rStyle w:val="NormalTok"/>
        </w:rPr>
        <w:t xml:space="preserve">(rENM.model)</w:t>
      </w:r>
      <w:r>
        <w:br/>
      </w:r>
      <w:r>
        <w:rPr>
          <w:rStyle w:val="FunctionTok"/>
        </w:rPr>
        <w:t xml:space="preserve">library</w:t>
      </w:r>
      <w:r>
        <w:rPr>
          <w:rStyle w:val="NormalTok"/>
        </w:rPr>
        <w:t xml:space="preserve">(rENM.analysis)</w:t>
      </w:r>
      <w:r>
        <w:br/>
      </w:r>
      <w:r>
        <w:rPr>
          <w:rStyle w:val="FunctionTok"/>
        </w:rPr>
        <w:t xml:space="preserve">library</w:t>
      </w:r>
      <w:r>
        <w:rPr>
          <w:rStyle w:val="NormalTok"/>
        </w:rPr>
        <w:t xml:space="preserve">(rENM.ai)</w:t>
      </w:r>
      <w:r>
        <w:br/>
      </w:r>
      <w:r>
        <w:rPr>
          <w:rStyle w:val="FunctionTok"/>
        </w:rPr>
        <w:t xml:space="preserve">library</w:t>
      </w:r>
      <w:r>
        <w:rPr>
          <w:rStyle w:val="NormalTok"/>
        </w:rPr>
        <w:t xml:space="preserve">(rENM.reports)</w:t>
      </w:r>
    </w:p>
    <w:bookmarkEnd w:id="30"/>
    <w:bookmarkEnd w:id="31"/>
    <w:bookmarkStart w:id="34" w:name="performing-an-renm-analysis"/>
    <w:p>
      <w:pPr>
        <w:pStyle w:val="Heading1"/>
      </w:pPr>
      <w:r>
        <w:t xml:space="preserve">5. Performing an rENM Analysis</w:t>
      </w:r>
    </w:p>
    <w:p>
      <w:pPr>
        <w:pStyle w:val="FirstParagraph"/>
      </w:pPr>
      <w:r>
        <w:t xml:space="preserve">Species within the rENM framework are identified using a four-character banding code (alpha code). To demonstrate the framework’s capabilities, the example dataset includes three species: Brown-capped Rosy-Finch (</w:t>
      </w:r>
      <w:r>
        <w:rPr>
          <w:i/>
          <w:iCs/>
        </w:rPr>
        <w:t xml:space="preserve">Leucosticte australis</w:t>
      </w:r>
      <w:r>
        <w:t xml:space="preserve">; BCRF), Cassin’s Sparrow (</w:t>
      </w:r>
      <w:r>
        <w:rPr>
          <w:i/>
          <w:iCs/>
        </w:rPr>
        <w:t xml:space="preserve">Peucaea cassinii</w:t>
      </w:r>
      <w:r>
        <w:t xml:space="preserve">; CASP), and Greater Roadrunner (</w:t>
      </w:r>
      <w:r>
        <w:rPr>
          <w:i/>
          <w:iCs/>
        </w:rPr>
        <w:t xml:space="preserve">Geococcyx californianus</w:t>
      </w:r>
      <w:r>
        <w:t xml:space="preserve">; GRRO). These species represent a range of ecological contexts, providing examples of small, medium, and large geographic distributions, as well as varying occurrence record densities.</w:t>
      </w:r>
    </w:p>
    <w:bookmarkStart w:id="32" w:name="viewing-installed-species-data"/>
    <w:p>
      <w:pPr>
        <w:pStyle w:val="Heading2"/>
      </w:pPr>
      <w:r>
        <w:t xml:space="preserve">5.1 Viewing installed species data</w:t>
      </w:r>
    </w:p>
    <w:p>
      <w:pPr>
        <w:pStyle w:val="FirstParagraph"/>
      </w:pPr>
      <w:r>
        <w:t xml:space="preserve">Use the</w:t>
      </w:r>
      <w:r>
        <w:t xml:space="preserve"> </w:t>
      </w:r>
      <w:r>
        <w:rPr>
          <w:rStyle w:val="VerbatimChar"/>
        </w:rPr>
        <w:t xml:space="preserve">show_species()</w:t>
      </w:r>
      <w:r>
        <w:t xml:space="preserve"> </w:t>
      </w:r>
      <w:r>
        <w:t xml:space="preserve">helper function to display the full list of species available in the framework’s example dataset. The four-letter alpha code (</w:t>
      </w:r>
      <w:r>
        <w:rPr>
          <w:rStyle w:val="VerbatimChar"/>
        </w:rPr>
        <w:t xml:space="preserve">ALPHA.CODE</w:t>
      </w:r>
      <w:r>
        <w:t xml:space="preserve">) is used to identify the species selected for analysis in the next step.</w:t>
      </w:r>
    </w:p>
    <w:p>
      <w:pPr>
        <w:pStyle w:val="SourceCode"/>
      </w:pPr>
      <w:r>
        <w:rPr>
          <w:rStyle w:val="CommentTok"/>
        </w:rPr>
        <w:t xml:space="preserve"># show available species</w:t>
      </w:r>
      <w:r>
        <w:br/>
      </w:r>
      <w:r>
        <w:rPr>
          <w:rStyle w:val="NormalTok"/>
        </w:rPr>
        <w:t xml:space="preserve">rENM.core</w:t>
      </w:r>
      <w:r>
        <w:rPr>
          <w:rStyle w:val="SpecialCharTok"/>
        </w:rPr>
        <w:t xml:space="preserve">::</w:t>
      </w:r>
      <w:r>
        <w:rPr>
          <w:rStyle w:val="FunctionTok"/>
        </w:rPr>
        <w:t xml:space="preserve">show_species</w:t>
      </w:r>
      <w:r>
        <w:rPr>
          <w:rStyle w:val="NormalTok"/>
        </w:rPr>
        <w:t xml:space="preserve">()</w:t>
      </w:r>
    </w:p>
    <w:bookmarkEnd w:id="32"/>
    <w:bookmarkStart w:id="33" w:name="bandingcode"/>
    <w:p>
      <w:pPr>
        <w:pStyle w:val="Heading2"/>
      </w:pPr>
      <w:r>
        <w:t xml:space="preserve">5.2 Setting the species banding code</w:t>
      </w:r>
    </w:p>
    <w:p>
      <w:pPr>
        <w:pStyle w:val="SourceCode"/>
      </w:pPr>
      <w:r>
        <w:rPr>
          <w:rStyle w:val="CommentTok"/>
        </w:rPr>
        <w:t xml:space="preserve"># set four-letter banding code of a bird species</w:t>
      </w:r>
      <w:r>
        <w:br/>
      </w:r>
      <w:r>
        <w:rPr>
          <w:rStyle w:val="NormalTok"/>
        </w:rPr>
        <w:t xml:space="preserve">alpha_code </w:t>
      </w:r>
      <w:r>
        <w:rPr>
          <w:rStyle w:val="OtherTok"/>
        </w:rPr>
        <w:t xml:space="preserve">&lt;-</w:t>
      </w:r>
      <w:r>
        <w:rPr>
          <w:rStyle w:val="NormalTok"/>
        </w:rPr>
        <w:t xml:space="preserve"> </w:t>
      </w:r>
      <w:r>
        <w:rPr>
          <w:rStyle w:val="StringTok"/>
        </w:rPr>
        <w:t xml:space="preserve">"BCRF"</w:t>
      </w:r>
      <w:r>
        <w:br/>
      </w:r>
      <w:r>
        <w:rPr>
          <w:rStyle w:val="CommentTok"/>
        </w:rPr>
        <w:t xml:space="preserve"># alpha_code &lt;- "CASP"</w:t>
      </w:r>
      <w:r>
        <w:br/>
      </w:r>
      <w:r>
        <w:rPr>
          <w:rStyle w:val="CommentTok"/>
        </w:rPr>
        <w:t xml:space="preserve"># alpha_code &lt;- "GRRO"</w:t>
      </w:r>
    </w:p>
    <w:bookmarkEnd w:id="33"/>
    <w:bookmarkEnd w:id="34"/>
    <w:bookmarkStart w:id="44" w:name="data-assembly"/>
    <w:p>
      <w:pPr>
        <w:pStyle w:val="Heading1"/>
      </w:pPr>
      <w:r>
        <w:t xml:space="preserve">6. Data Assembly</w:t>
      </w:r>
    </w:p>
    <w:bookmarkStart w:id="40" w:name="occurrence-data"/>
    <w:p>
      <w:pPr>
        <w:pStyle w:val="Heading2"/>
      </w:pPr>
      <w:r>
        <w:t xml:space="preserve">6.1 Occurrence data</w:t>
      </w:r>
    </w:p>
    <w:bookmarkStart w:id="35" w:name="gathering-ebird-records"/>
    <w:p>
      <w:pPr>
        <w:pStyle w:val="Heading3"/>
      </w:pPr>
      <w:r>
        <w:t xml:space="preserve">- Gathering eBird records</w:t>
      </w:r>
    </w:p>
    <w:p>
      <w:pPr>
        <w:pStyle w:val="FirstParagraph"/>
      </w:pPr>
      <w:r>
        <w:t xml:space="preserve">The first step in an rENM time series analysis is to prepare the input occurrence data and environmental variables. This begins with extracting species-specific occurrence records from a downloaded eBird Basic Dataset (EBD) text file located in the base data directory.</w:t>
      </w:r>
    </w:p>
    <w:p>
      <w:pPr>
        <w:pStyle w:val="BodyText"/>
      </w:pPr>
      <w:r>
        <w:t xml:space="preserve">The function described below reads the raw EBD file, filters records with valid geographic coordinates, and writes a cleaned CSV file to the run directory. It then partitions the occurrence data into nine 5-year temporal bins spanning 1980–2020.</w:t>
      </w:r>
    </w:p>
    <w:p>
      <w:pPr>
        <w:pStyle w:val="BodyText"/>
      </w:pPr>
      <w:r>
        <w:t xml:space="preserve">Each temporal subset is saved as a separate CSV file in the run directory under</w:t>
      </w:r>
      <w:r>
        <w:t xml:space="preserve"> </w:t>
      </w:r>
      <w:r>
        <w:rPr>
          <w:rStyle w:val="VerbatimChar"/>
        </w:rPr>
        <w:t xml:space="preserve">&lt;alpha_code&gt;/_occs/tmp/</w:t>
      </w:r>
      <w:r>
        <w:t xml:space="preserve"> </w:t>
      </w:r>
      <w:r>
        <w:t xml:space="preserve">for use in subsequent processing steps.</w:t>
      </w:r>
    </w:p>
    <w:p>
      <w:pPr>
        <w:pStyle w:val="SourceCode"/>
      </w:pPr>
      <w:r>
        <w:rPr>
          <w:rStyle w:val="CommentTok"/>
        </w:rPr>
        <w:t xml:space="preserve"># extract ebird occurrence records from the base collection</w:t>
      </w:r>
      <w:r>
        <w:br/>
      </w:r>
      <w:r>
        <w:rPr>
          <w:rStyle w:val="NormalTok"/>
        </w:rPr>
        <w:t xml:space="preserve">rENM.data</w:t>
      </w:r>
      <w:r>
        <w:rPr>
          <w:rStyle w:val="SpecialCharTok"/>
        </w:rPr>
        <w:t xml:space="preserve">::</w:t>
      </w:r>
      <w:r>
        <w:rPr>
          <w:rStyle w:val="FunctionTok"/>
        </w:rPr>
        <w:t xml:space="preserve">get_ebird_occurrences</w:t>
      </w:r>
      <w:r>
        <w:rPr>
          <w:rStyle w:val="NormalTok"/>
        </w:rPr>
        <w:t xml:space="preserve">(alpha_code)</w:t>
      </w:r>
    </w:p>
    <w:bookmarkEnd w:id="35"/>
    <w:bookmarkStart w:id="36" w:name="removing-duplicate-records"/>
    <w:p>
      <w:pPr>
        <w:pStyle w:val="Heading3"/>
      </w:pPr>
      <w:r>
        <w:t xml:space="preserve">- Removing duplicate records</w:t>
      </w:r>
    </w:p>
    <w:p>
      <w:pPr>
        <w:pStyle w:val="FirstParagraph"/>
      </w:pPr>
      <w:r>
        <w:t xml:space="preserve">Next, remove duplicate records from the occurrence files in the</w:t>
      </w:r>
      <w:r>
        <w:t xml:space="preserve"> </w:t>
      </w:r>
      <w:r>
        <w:rPr>
          <w:rStyle w:val="VerbatimChar"/>
        </w:rPr>
        <w:t xml:space="preserve">&lt;alpha_code&gt;/_occs/tmp/</w:t>
      </w:r>
      <w:r>
        <w:t xml:space="preserve"> </w:t>
      </w:r>
      <w:r>
        <w:t xml:space="preserve">run directory.</w:t>
      </w:r>
    </w:p>
    <w:p>
      <w:pPr>
        <w:pStyle w:val="SourceCode"/>
      </w:pPr>
      <w:r>
        <w:rPr>
          <w:rStyle w:val="CommentTok"/>
        </w:rPr>
        <w:t xml:space="preserve"># de-duplicate occurrence records</w:t>
      </w:r>
      <w:r>
        <w:br/>
      </w:r>
      <w:r>
        <w:rPr>
          <w:rStyle w:val="NormalTok"/>
        </w:rPr>
        <w:t xml:space="preserve">rENM.data</w:t>
      </w:r>
      <w:r>
        <w:rPr>
          <w:rStyle w:val="SpecialCharTok"/>
        </w:rPr>
        <w:t xml:space="preserve">::</w:t>
      </w:r>
      <w:r>
        <w:rPr>
          <w:rStyle w:val="FunctionTok"/>
        </w:rPr>
        <w:t xml:space="preserve">remove_duplicate_occurrences</w:t>
      </w:r>
      <w:r>
        <w:rPr>
          <w:rStyle w:val="NormalTok"/>
        </w:rPr>
        <w:t xml:space="preserve">(alpha_code)</w:t>
      </w:r>
    </w:p>
    <w:bookmarkEnd w:id="36"/>
    <w:bookmarkStart w:id="37" w:name="spatial-thinning"/>
    <w:p>
      <w:pPr>
        <w:pStyle w:val="Heading3"/>
      </w:pPr>
      <w:r>
        <w:t xml:space="preserve">- Spatial thinning</w:t>
      </w:r>
    </w:p>
    <w:p>
      <w:pPr>
        <w:pStyle w:val="FirstParagraph"/>
      </w:pPr>
      <w:r>
        <w:t xml:space="preserve">You may optionally apply spatial thinning to the occurrence records. Thinning reduces spatial clustering by enforcing a minimum distance between points, helping to mitigate sampling bias. For example, analyses of Cassin’s Sparrow typically use a thinning distance of 8 km (~5 miles) to reduce the likelihood of counting the same individual multiple times. This step can be skipped entirely or configured by setting the</w:t>
      </w:r>
      <w:r>
        <w:t xml:space="preserve"> </w:t>
      </w:r>
      <w:r>
        <w:rPr>
          <w:rStyle w:val="VerbatimChar"/>
        </w:rPr>
        <w:t xml:space="preserve">thin_distance</w:t>
      </w:r>
      <w:r>
        <w:t xml:space="preserve"> </w:t>
      </w:r>
      <w:r>
        <w:t xml:space="preserve">parameter, as shown below.</w:t>
      </w:r>
    </w:p>
    <w:p>
      <w:pPr>
        <w:pStyle w:val="BodyText"/>
      </w:pPr>
      <w:r>
        <w:t xml:space="preserve">Thinning can be time-consuming. By default, temporal bins are processed sequentially. A parallel processing option is also available and can reduce runtime; however, if system resources are limited or uncertain, the default sequential approach is recommended. Comment out the option you do not use.</w:t>
      </w:r>
    </w:p>
    <w:p>
      <w:pPr>
        <w:pStyle w:val="SourceCode"/>
      </w:pPr>
      <w:r>
        <w:rPr>
          <w:rStyle w:val="CommentTok"/>
        </w:rPr>
        <w:t xml:space="preserve"># set thinning distance (radius in km)</w:t>
      </w:r>
      <w:r>
        <w:br/>
      </w:r>
      <w:r>
        <w:rPr>
          <w:rStyle w:val="NormalTok"/>
        </w:rPr>
        <w:t xml:space="preserve">thin_distance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default value</w:t>
      </w:r>
      <w:r>
        <w:br/>
      </w:r>
      <w:r>
        <w:br/>
      </w:r>
      <w:r>
        <w:rPr>
          <w:rStyle w:val="CommentTok"/>
        </w:rPr>
        <w:t xml:space="preserve"># thin records in the _occs/tmp/ run collection [sequential version]</w:t>
      </w:r>
      <w:r>
        <w:br/>
      </w:r>
      <w:r>
        <w:rPr>
          <w:rStyle w:val="CommentTok"/>
        </w:rPr>
        <w:t xml:space="preserve"># thin_occurrences(alpha_code, thin_distance)</w:t>
      </w:r>
      <w:r>
        <w:br/>
      </w:r>
      <w:r>
        <w:br/>
      </w:r>
      <w:r>
        <w:rPr>
          <w:rStyle w:val="CommentTok"/>
        </w:rPr>
        <w:t xml:space="preserve"># thin records in the _occs/tmp/ run collection [parallel version]</w:t>
      </w:r>
      <w:r>
        <w:br/>
      </w:r>
      <w:r>
        <w:rPr>
          <w:rStyle w:val="NormalTok"/>
        </w:rPr>
        <w:t xml:space="preserve">rENM.data</w:t>
      </w:r>
      <w:r>
        <w:rPr>
          <w:rStyle w:val="SpecialCharTok"/>
        </w:rPr>
        <w:t xml:space="preserve">::</w:t>
      </w:r>
      <w:r>
        <w:rPr>
          <w:rStyle w:val="FunctionTok"/>
        </w:rPr>
        <w:t xml:space="preserve">thin_occurrences2</w:t>
      </w:r>
      <w:r>
        <w:rPr>
          <w:rStyle w:val="NormalTok"/>
        </w:rPr>
        <w:t xml:space="preserve">(alpha_code, thin_distance)</w:t>
      </w:r>
    </w:p>
    <w:bookmarkEnd w:id="37"/>
    <w:bookmarkStart w:id="38" w:name="limiting-the-record-count"/>
    <w:p>
      <w:pPr>
        <w:pStyle w:val="Heading3"/>
      </w:pPr>
      <w:r>
        <w:t xml:space="preserve">- Limiting the record count</w:t>
      </w:r>
    </w:p>
    <w:p>
      <w:pPr>
        <w:pStyle w:val="FirstParagraph"/>
      </w:pPr>
      <w:r>
        <w:t xml:space="preserve">There may be times when you’d like to set an upper limit on the number of occurrence records retained within each temporal bin. This can be useful for reducing excessively high record densities, which may negatively affect model performance. This step is optional.</w:t>
      </w:r>
    </w:p>
    <w:p>
      <w:pPr>
        <w:pStyle w:val="SourceCode"/>
      </w:pPr>
      <w:r>
        <w:rPr>
          <w:rStyle w:val="CommentTok"/>
        </w:rPr>
        <w:t xml:space="preserve"># set upper bound on the number of occurrence records</w:t>
      </w:r>
      <w:r>
        <w:br/>
      </w:r>
      <w:r>
        <w:rPr>
          <w:rStyle w:val="NormalTok"/>
        </w:rPr>
        <w:t xml:space="preserve">record_count </w:t>
      </w:r>
      <w:r>
        <w:rPr>
          <w:rStyle w:val="OtherTok"/>
        </w:rPr>
        <w:t xml:space="preserve">&lt;-</w:t>
      </w:r>
      <w:r>
        <w:rPr>
          <w:rStyle w:val="NormalTok"/>
        </w:rPr>
        <w:t xml:space="preserve"> </w:t>
      </w:r>
      <w:r>
        <w:rPr>
          <w:rStyle w:val="DecValTok"/>
        </w:rPr>
        <w:t xml:space="preserve">250</w:t>
      </w:r>
      <w:r>
        <w:br/>
      </w:r>
      <w:r>
        <w:br/>
      </w:r>
      <w:r>
        <w:rPr>
          <w:rStyle w:val="CommentTok"/>
        </w:rPr>
        <w:t xml:space="preserve"># thin records to upper bound</w:t>
      </w:r>
      <w:r>
        <w:br/>
      </w:r>
      <w:r>
        <w:rPr>
          <w:rStyle w:val="NormalTok"/>
        </w:rPr>
        <w:t xml:space="preserve">rENM.data</w:t>
      </w:r>
      <w:r>
        <w:rPr>
          <w:rStyle w:val="SpecialCharTok"/>
        </w:rPr>
        <w:t xml:space="preserve">::</w:t>
      </w:r>
      <w:r>
        <w:rPr>
          <w:rStyle w:val="FunctionTok"/>
        </w:rPr>
        <w:t xml:space="preserve">limit_record_count</w:t>
      </w:r>
      <w:r>
        <w:rPr>
          <w:rStyle w:val="NormalTok"/>
        </w:rPr>
        <w:t xml:space="preserve">(alpha_code, record_count)</w:t>
      </w:r>
    </w:p>
    <w:bookmarkEnd w:id="38"/>
    <w:bookmarkStart w:id="39" w:name="wrapping-up-occurrence-data-prep"/>
    <w:p>
      <w:pPr>
        <w:pStyle w:val="Heading3"/>
      </w:pPr>
      <w:r>
        <w:t xml:space="preserve">- Wrapping up occurrence data prep</w:t>
      </w:r>
    </w:p>
    <w:p>
      <w:pPr>
        <w:pStyle w:val="FirstParagraph"/>
      </w:pPr>
      <w:r>
        <w:t xml:space="preserve">We finish setting up occurrence data by moving the prepared per-bin occurrence files from the temporary</w:t>
      </w:r>
      <w:r>
        <w:t xml:space="preserve"> </w:t>
      </w:r>
      <w:r>
        <w:rPr>
          <w:i/>
          <w:iCs/>
        </w:rPr>
        <w:t xml:space="preserve">&lt;alpha_code&gt;/_occs/tmp/</w:t>
      </w:r>
      <w:r>
        <w:t xml:space="preserve"> </w:t>
      </w:r>
      <w:r>
        <w:t xml:space="preserve">directory into the main</w:t>
      </w:r>
      <w:r>
        <w:t xml:space="preserve"> </w:t>
      </w:r>
      <w:r>
        <w:rPr>
          <w:i/>
          <w:iCs/>
        </w:rPr>
        <w:t xml:space="preserve">&lt;alpha_code&gt;/_occs/</w:t>
      </w:r>
      <w:r>
        <w:t xml:space="preserve"> </w:t>
      </w:r>
      <w:r>
        <w:t xml:space="preserve">directory for our species run. After copying the files, the temporary directory is removed. This is the finial cleanup step before preparing environmental data.</w:t>
      </w:r>
    </w:p>
    <w:p>
      <w:pPr>
        <w:pStyle w:val="SourceCode"/>
      </w:pPr>
      <w:r>
        <w:rPr>
          <w:rStyle w:val="CommentTok"/>
        </w:rPr>
        <w:t xml:space="preserve"># move filtered records to the &lt;alpha_code&gt;/_occs/ run collection and tidy up</w:t>
      </w:r>
      <w:r>
        <w:br/>
      </w:r>
      <w:r>
        <w:rPr>
          <w:rStyle w:val="NormalTok"/>
        </w:rPr>
        <w:t xml:space="preserve">rENM.data</w:t>
      </w:r>
      <w:r>
        <w:rPr>
          <w:rStyle w:val="SpecialCharTok"/>
        </w:rPr>
        <w:t xml:space="preserve">::</w:t>
      </w:r>
      <w:r>
        <w:rPr>
          <w:rStyle w:val="FunctionTok"/>
        </w:rPr>
        <w:t xml:space="preserve">tidy_occurrences</w:t>
      </w:r>
      <w:r>
        <w:rPr>
          <w:rStyle w:val="NormalTok"/>
        </w:rPr>
        <w:t xml:space="preserve">(alpha_code)</w:t>
      </w:r>
    </w:p>
    <w:bookmarkEnd w:id="39"/>
    <w:bookmarkEnd w:id="40"/>
    <w:bookmarkStart w:id="43" w:name="environmental-data"/>
    <w:p>
      <w:pPr>
        <w:pStyle w:val="Heading2"/>
      </w:pPr>
      <w:r>
        <w:t xml:space="preserve">6.2 Environmental data</w:t>
      </w:r>
    </w:p>
    <w:bookmarkStart w:id="41" w:name="setting-the-spatial-extent"/>
    <w:p>
      <w:pPr>
        <w:pStyle w:val="Heading3"/>
      </w:pPr>
      <w:r>
        <w:t xml:space="preserve">- Setting the spatial extent</w:t>
      </w:r>
    </w:p>
    <w:p>
      <w:pPr>
        <w:pStyle w:val="FirstParagraph"/>
      </w:pPr>
      <w:r>
        <w:t xml:space="preserve">Preparing environmental data for modeling involves several steps, some of which are optional. The first step is to define the spatial extent of the analysis. This step is required.</w:t>
      </w:r>
    </w:p>
    <w:p>
      <w:pPr>
        <w:pStyle w:val="BodyText"/>
      </w:pPr>
      <w:r>
        <w:t xml:space="preserve">The framework provides three options for specifying model extent:</w:t>
      </w:r>
      <w:r>
        <w:br/>
      </w:r>
      <w:r>
        <w:t xml:space="preserve">(1) derive extent from the species’ eBird occurrence records,</w:t>
      </w:r>
      <w:r>
        <w:br/>
      </w:r>
      <w:r>
        <w:t xml:space="preserve">(2) derive extent from the species’ USGS GAP range, or</w:t>
      </w:r>
      <w:r>
        <w:br/>
      </w:r>
      <w:r>
        <w:t xml:space="preserve">(3) define the extent manually.</w:t>
      </w:r>
    </w:p>
    <w:p>
      <w:pPr>
        <w:pStyle w:val="BodyText"/>
      </w:pPr>
      <w:r>
        <w:t xml:space="preserve">Select the desired approach by commenting out the options you do not intend to use. For guidance on manually specifying parameters, run</w:t>
      </w:r>
      <w:r>
        <w:t xml:space="preserve"> </w:t>
      </w:r>
      <w:r>
        <w:rPr>
          <w:rStyle w:val="VerbatimChar"/>
        </w:rPr>
        <w:t xml:space="preserve">?set_extent</w:t>
      </w:r>
      <w:r>
        <w:t xml:space="preserve"> </w:t>
      </w:r>
      <w:r>
        <w:t xml:space="preserve">in the RStudio console.</w:t>
      </w:r>
    </w:p>
    <w:p>
      <w:pPr>
        <w:pStyle w:val="SourceCode"/>
      </w:pPr>
      <w:r>
        <w:rPr>
          <w:rStyle w:val="CommentTok"/>
        </w:rPr>
        <w:t xml:space="preserve"># set model extent using the usgs gap range</w:t>
      </w:r>
      <w:r>
        <w:br/>
      </w:r>
      <w:r>
        <w:rPr>
          <w:rStyle w:val="NormalTok"/>
        </w:rPr>
        <w:t xml:space="preserve">rENM.data</w:t>
      </w:r>
      <w:r>
        <w:rPr>
          <w:rStyle w:val="SpecialCharTok"/>
        </w:rPr>
        <w:t xml:space="preserve">::</w:t>
      </w:r>
      <w:r>
        <w:rPr>
          <w:rStyle w:val="FunctionTok"/>
        </w:rPr>
        <w:t xml:space="preserve">find_range_extent</w:t>
      </w:r>
      <w:r>
        <w:rPr>
          <w:rStyle w:val="NormalTok"/>
        </w:rPr>
        <w:t xml:space="preserve">(alpha_code)</w:t>
      </w:r>
      <w:r>
        <w:br/>
      </w:r>
      <w:r>
        <w:br/>
      </w:r>
      <w:r>
        <w:rPr>
          <w:rStyle w:val="CommentTok"/>
        </w:rPr>
        <w:t xml:space="preserve"># set model extent using ebird occurrences records</w:t>
      </w:r>
      <w:r>
        <w:br/>
      </w:r>
      <w:r>
        <w:rPr>
          <w:rStyle w:val="CommentTok"/>
        </w:rPr>
        <w:t xml:space="preserve"># rENM.data::find_occurrence_extent(alpha_code)</w:t>
      </w:r>
      <w:r>
        <w:br/>
      </w:r>
      <w:r>
        <w:br/>
      </w:r>
      <w:r>
        <w:rPr>
          <w:rStyle w:val="CommentTok"/>
        </w:rPr>
        <w:t xml:space="preserve"># manually set the model extent</w:t>
      </w:r>
      <w:r>
        <w:br/>
      </w:r>
      <w:r>
        <w:rPr>
          <w:rStyle w:val="CommentTok"/>
        </w:rPr>
        <w:t xml:space="preserve"># rENM.data::set_extent(alpha_code)</w:t>
      </w:r>
    </w:p>
    <w:bookmarkEnd w:id="41"/>
    <w:bookmarkStart w:id="42" w:name="assembling-merra-variables"/>
    <w:p>
      <w:pPr>
        <w:pStyle w:val="Heading3"/>
      </w:pPr>
      <w:r>
        <w:t xml:space="preserve">- Assembling MERRA variables</w:t>
      </w:r>
    </w:p>
    <w:p>
      <w:pPr>
        <w:pStyle w:val="FirstParagraph"/>
      </w:pPr>
      <w:r>
        <w:t xml:space="preserve">We’re now ready to copy environmental variables from the base data collection into the species-specific run directory. Begin by selecting the MERRA-2 and/or MERRAclim-2 variables to include in the analysis. Use the</w:t>
      </w:r>
      <w:r>
        <w:t xml:space="preserve"> </w:t>
      </w:r>
      <w:r>
        <w:rPr>
          <w:rStyle w:val="VerbatimChar"/>
        </w:rPr>
        <w:t xml:space="preserve">show_variables()</w:t>
      </w:r>
      <w:r>
        <w:t xml:space="preserve"> </w:t>
      </w:r>
      <w:r>
        <w:t xml:space="preserve">utility in the RStudio console to display the full list of available variables. Assign your selections to the</w:t>
      </w:r>
      <w:r>
        <w:t xml:space="preserve"> </w:t>
      </w:r>
      <w:r>
        <w:rPr>
          <w:rStyle w:val="VerbatimChar"/>
        </w:rPr>
        <w:t xml:space="preserve">m2_vars</w:t>
      </w:r>
      <w:r>
        <w:t xml:space="preserve"> </w:t>
      </w:r>
      <w:r>
        <w:t xml:space="preserve">and</w:t>
      </w:r>
      <w:r>
        <w:t xml:space="preserve"> </w:t>
      </w:r>
      <w:r>
        <w:rPr>
          <w:rStyle w:val="VerbatimChar"/>
        </w:rPr>
        <w:t xml:space="preserve">mc_vars</w:t>
      </w:r>
      <w:r>
        <w:t xml:space="preserve"> </w:t>
      </w:r>
      <w:r>
        <w:t xml:space="preserve">parameters, as shown below. Setting either parameter to</w:t>
      </w:r>
      <w:r>
        <w:t xml:space="preserve"> </w:t>
      </w:r>
      <w:r>
        <w:rPr>
          <w:rStyle w:val="VerbatimChar"/>
        </w:rPr>
        <w:t xml:space="preserve">NULL</w:t>
      </w:r>
      <w:r>
        <w:t xml:space="preserve"> </w:t>
      </w:r>
      <w:r>
        <w:t xml:space="preserve">will include all available variables of that type. The example dataset includes the variables used in Schnase et al. (2026), described above. Additional details are provided in the package documentation.</w:t>
      </w:r>
    </w:p>
    <w:p>
      <w:pPr>
        <w:pStyle w:val="SourceCode"/>
      </w:pPr>
      <w:r>
        <w:rPr>
          <w:rStyle w:val="CommentTok"/>
        </w:rPr>
        <w:t xml:space="preserve"># MERRA-2 microclimatic variables</w:t>
      </w:r>
      <w:r>
        <w:br/>
      </w:r>
      <w:r>
        <w:rPr>
          <w:rStyle w:val="CommentTok"/>
        </w:rPr>
        <w:t xml:space="preserve"># m2_vars = c("evpintr", "evpsoil", "prevtot", "qv2m",</w:t>
      </w:r>
      <w:r>
        <w:br/>
      </w:r>
      <w:r>
        <w:rPr>
          <w:rStyle w:val="CommentTok"/>
        </w:rPr>
        <w:t xml:space="preserve">#             "speed", "swgnt", "tautot")</w:t>
      </w:r>
      <w:r>
        <w:br/>
      </w:r>
      <w:r>
        <w:br/>
      </w:r>
      <w:r>
        <w:rPr>
          <w:rStyle w:val="CommentTok"/>
        </w:rPr>
        <w:t xml:space="preserve"># MERRAclim-2 macroclimatic variables</w:t>
      </w:r>
      <w:r>
        <w:br/>
      </w:r>
      <w:r>
        <w:rPr>
          <w:rStyle w:val="CommentTok"/>
        </w:rPr>
        <w:t xml:space="preserve"># mc_vars = c("bio3", "bio5", "bio8", "bio13",</w:t>
      </w:r>
      <w:r>
        <w:br/>
      </w:r>
      <w:r>
        <w:rPr>
          <w:rStyle w:val="CommentTok"/>
        </w:rPr>
        <w:t xml:space="preserve">#             "bio14", "bio15", "bio18")</w:t>
      </w:r>
    </w:p>
    <w:p>
      <w:pPr>
        <w:pStyle w:val="FirstParagraph"/>
      </w:pPr>
      <w:r>
        <w:t xml:space="preserve">Once variables are selected, the extraction step copies them from the base collection, crops each layer to the defined spatial extent, and writes the results to the run directory under</w:t>
      </w:r>
      <w:r>
        <w:t xml:space="preserve"> </w:t>
      </w:r>
      <w:r>
        <w:rPr>
          <w:rStyle w:val="VerbatimChar"/>
        </w:rPr>
        <w:t xml:space="preserve">&lt;alpha_code&gt;/_vars/</w:t>
      </w:r>
      <w:r>
        <w:t xml:space="preserve"> </w:t>
      </w:r>
      <w:r>
        <w:t xml:space="preserve">for subsequent processing.</w:t>
      </w:r>
    </w:p>
    <w:p>
      <w:pPr>
        <w:pStyle w:val="SourceCode"/>
      </w:pPr>
      <w:r>
        <w:rPr>
          <w:rStyle w:val="CommentTok"/>
        </w:rPr>
        <w:t xml:space="preserve"># extract merra variables and move to the run directory</w:t>
      </w:r>
      <w:r>
        <w:br/>
      </w:r>
      <w:r>
        <w:rPr>
          <w:rStyle w:val="NormalTok"/>
        </w:rPr>
        <w:t xml:space="preserve">rENM.data</w:t>
      </w:r>
      <w:r>
        <w:rPr>
          <w:rStyle w:val="SpecialCharTok"/>
        </w:rPr>
        <w:t xml:space="preserve">::</w:t>
      </w:r>
      <w:r>
        <w:rPr>
          <w:rStyle w:val="FunctionTok"/>
        </w:rPr>
        <w:t xml:space="preserve">get_merra_variables</w:t>
      </w:r>
      <w:r>
        <w:rPr>
          <w:rStyle w:val="NormalTok"/>
        </w:rPr>
        <w:t xml:space="preserve">(</w:t>
      </w:r>
      <w:r>
        <w:br/>
      </w:r>
      <w:r>
        <w:rPr>
          <w:rStyle w:val="NormalTok"/>
        </w:rPr>
        <w:t xml:space="preserve">  </w:t>
      </w:r>
      <w:r>
        <w:rPr>
          <w:rStyle w:val="AttributeTok"/>
        </w:rPr>
        <w:t xml:space="preserve">alpha_code =</w:t>
      </w:r>
      <w:r>
        <w:rPr>
          <w:rStyle w:val="NormalTok"/>
        </w:rPr>
        <w:t xml:space="preserve"> alpha_code,</w:t>
      </w:r>
      <w:r>
        <w:br/>
      </w:r>
      <w:r>
        <w:rPr>
          <w:rStyle w:val="NormalTok"/>
        </w:rPr>
        <w:t xml:space="preserve">  </w:t>
      </w:r>
      <w:r>
        <w:rPr>
          <w:rStyle w:val="AttributeTok"/>
        </w:rPr>
        <w:t xml:space="preserve">m2_vars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mc_vars =</w:t>
      </w:r>
      <w:r>
        <w:rPr>
          <w:rStyle w:val="NormalTok"/>
        </w:rPr>
        <w:t xml:space="preserve"> </w:t>
      </w:r>
      <w:r>
        <w:rPr>
          <w:rStyle w:val="ConstantTok"/>
        </w:rPr>
        <w:t xml:space="preserve">NULL</w:t>
      </w:r>
      <w:r>
        <w:rPr>
          <w:rStyle w:val="NormalTok"/>
        </w:rPr>
        <w:t xml:space="preserve">)</w:t>
      </w:r>
    </w:p>
    <w:bookmarkEnd w:id="42"/>
    <w:bookmarkEnd w:id="43"/>
    <w:bookmarkEnd w:id="44"/>
    <w:bookmarkStart w:id="51" w:name="time-series-construction"/>
    <w:p>
      <w:pPr>
        <w:pStyle w:val="Heading1"/>
      </w:pPr>
      <w:r>
        <w:t xml:space="preserve">7. Time Series Construction</w:t>
      </w:r>
    </w:p>
    <w:bookmarkStart w:id="45" w:name="staging-occurrence-records"/>
    <w:p>
      <w:pPr>
        <w:pStyle w:val="Heading2"/>
      </w:pPr>
      <w:r>
        <w:t xml:space="preserve">7.1 Staging occurrence records</w:t>
      </w:r>
    </w:p>
    <w:p>
      <w:pPr>
        <w:pStyle w:val="FirstParagraph"/>
      </w:pPr>
      <w:r>
        <w:t xml:space="preserve">With input data prepared, the next step is to construct the rENM time series. This begins by moving the processed occurrence records from the</w:t>
      </w:r>
      <w:r>
        <w:t xml:space="preserve"> </w:t>
      </w:r>
      <w:r>
        <w:rPr>
          <w:rStyle w:val="VerbatimChar"/>
        </w:rPr>
        <w:t xml:space="preserve">&lt;alpha_code&gt;/_occs/</w:t>
      </w:r>
      <w:r>
        <w:t xml:space="preserve"> </w:t>
      </w:r>
      <w:r>
        <w:t xml:space="preserve">directory into a structured time series directory.</w:t>
      </w:r>
    </w:p>
    <w:p>
      <w:pPr>
        <w:pStyle w:val="BodyText"/>
      </w:pPr>
      <w:r>
        <w:t xml:space="preserve">The function described below creates a</w:t>
      </w:r>
      <w:r>
        <w:t xml:space="preserve"> </w:t>
      </w:r>
      <w:r>
        <w:rPr>
          <w:rStyle w:val="VerbatimChar"/>
        </w:rPr>
        <w:t xml:space="preserve">TimeSeries</w:t>
      </w:r>
      <w:r>
        <w:t xml:space="preserve"> </w:t>
      </w:r>
      <w:r>
        <w:t xml:space="preserve">directory and organizes it into nine 5-year bins labeled by year (1980–2020). Within each bin, occurrence records are stored in an</w:t>
      </w:r>
      <w:r>
        <w:t xml:space="preserve"> </w:t>
      </w:r>
      <w:r>
        <w:rPr>
          <w:rStyle w:val="VerbatimChar"/>
        </w:rPr>
        <w:t xml:space="preserve">occs</w:t>
      </w:r>
      <w:r>
        <w:t xml:space="preserve"> </w:t>
      </w:r>
      <w:r>
        <w:t xml:space="preserve">subdirectory. The resulting structure is:</w:t>
      </w:r>
      <w:r>
        <w:t xml:space="preserve"> </w:t>
      </w:r>
      <w:r>
        <w:rPr>
          <w:rStyle w:val="VerbatimChar"/>
        </w:rPr>
        <w:t xml:space="preserve">&lt;alpha_code&gt;/TimeSeries/&lt;year&gt;/occs/</w:t>
      </w:r>
      <w:r>
        <w:t xml:space="preserve"> </w:t>
      </w:r>
      <w:r>
        <w:t xml:space="preserve">.This organization becomes clear after running the function and inspecting the resulting</w:t>
      </w:r>
      <w:r>
        <w:t xml:space="preserve"> </w:t>
      </w:r>
      <w:r>
        <w:rPr>
          <w:rStyle w:val="VerbatimChar"/>
        </w:rPr>
        <w:t xml:space="preserve">TimeSeries</w:t>
      </w:r>
      <w:r>
        <w:t xml:space="preserve"> </w:t>
      </w:r>
      <w:r>
        <w:t xml:space="preserve">directory.</w:t>
      </w:r>
    </w:p>
    <w:p>
      <w:pPr>
        <w:pStyle w:val="SourceCode"/>
      </w:pPr>
      <w:r>
        <w:rPr>
          <w:rStyle w:val="CommentTok"/>
        </w:rPr>
        <w:t xml:space="preserve"># move prepared occurrence files from the &lt;alpha_code&gt;/_occs/ directory </w:t>
      </w:r>
      <w:r>
        <w:br/>
      </w:r>
      <w:r>
        <w:rPr>
          <w:rStyle w:val="CommentTok"/>
        </w:rPr>
        <w:t xml:space="preserve">#   to 5-year bins within the &lt;alpha_code/TimeSeries/occs/ directory</w:t>
      </w:r>
      <w:r>
        <w:br/>
      </w:r>
      <w:r>
        <w:rPr>
          <w:rStyle w:val="NormalTok"/>
        </w:rPr>
        <w:t xml:space="preserve">rENM.model</w:t>
      </w:r>
      <w:r>
        <w:rPr>
          <w:rStyle w:val="SpecialCharTok"/>
        </w:rPr>
        <w:t xml:space="preserve">::</w:t>
      </w:r>
      <w:r>
        <w:rPr>
          <w:rStyle w:val="FunctionTok"/>
        </w:rPr>
        <w:t xml:space="preserve">stage_occurrences</w:t>
      </w:r>
      <w:r>
        <w:rPr>
          <w:rStyle w:val="NormalTok"/>
        </w:rPr>
        <w:t xml:space="preserve">(alpha_code)</w:t>
      </w:r>
    </w:p>
    <w:bookmarkEnd w:id="45"/>
    <w:bookmarkStart w:id="48" w:name="staging-environmental-variables"/>
    <w:p>
      <w:pPr>
        <w:pStyle w:val="Heading2"/>
      </w:pPr>
      <w:r>
        <w:t xml:space="preserve">7.2 Staging environmental variables</w:t>
      </w:r>
    </w:p>
    <w:p>
      <w:pPr>
        <w:pStyle w:val="FirstParagraph"/>
      </w:pPr>
      <w:r>
        <w:t xml:space="preserve">Environmental variables are now staged for time series analysis. Two approaches are available; select only one.</w:t>
      </w:r>
    </w:p>
    <w:bookmarkStart w:id="46" w:name="option-1---simple-staging"/>
    <w:p>
      <w:pPr>
        <w:pStyle w:val="Heading3"/>
      </w:pPr>
      <w:r>
        <w:t xml:space="preserve">- Option 1 - Simple staging</w:t>
      </w:r>
    </w:p>
    <w:p>
      <w:pPr>
        <w:pStyle w:val="FirstParagraph"/>
      </w:pPr>
      <w:r>
        <w:t xml:space="preserve">This function performs simple staging by transferring all cropped environmental predictors from the</w:t>
      </w:r>
      <w:r>
        <w:t xml:space="preserve"> </w:t>
      </w:r>
      <w:r>
        <w:rPr>
          <w:rStyle w:val="VerbatimChar"/>
        </w:rPr>
        <w:t xml:space="preserve">&lt;alpha_code&gt;/_vars/</w:t>
      </w:r>
      <w:r>
        <w:t xml:space="preserve"> </w:t>
      </w:r>
      <w:r>
        <w:t xml:space="preserve">directory to the</w:t>
      </w:r>
      <w:r>
        <w:t xml:space="preserve"> </w:t>
      </w:r>
      <w:r>
        <w:rPr>
          <w:rStyle w:val="VerbatimChar"/>
        </w:rPr>
        <w:t xml:space="preserve">TimeSeries</w:t>
      </w:r>
      <w:r>
        <w:t xml:space="preserve"> </w:t>
      </w:r>
      <w:r>
        <w:t xml:space="preserve">directory without modification. Files are organized into a</w:t>
      </w:r>
      <w:r>
        <w:t xml:space="preserve"> </w:t>
      </w:r>
      <w:r>
        <w:rPr>
          <w:rStyle w:val="VerbatimChar"/>
        </w:rPr>
        <w:t xml:space="preserve">vars</w:t>
      </w:r>
      <w:r>
        <w:t xml:space="preserve"> </w:t>
      </w:r>
      <w:r>
        <w:t xml:space="preserve">subdirectory within each temporal bin created in the previous step. The resulting structure is:</w:t>
      </w:r>
      <w:r>
        <w:t xml:space="preserve"> </w:t>
      </w:r>
      <w:r>
        <w:rPr>
          <w:rStyle w:val="VerbatimChar"/>
        </w:rPr>
        <w:t xml:space="preserve">&lt;alpha_code&gt;/TimeSeries/&lt;year&gt;/vars/</w:t>
      </w:r>
      <w:r>
        <w:t xml:space="preserve"> </w:t>
      </w:r>
      <w:r>
        <w:t xml:space="preserve">where</w:t>
      </w:r>
      <w:r>
        <w:t xml:space="preserve"> </w:t>
      </w:r>
      <w:r>
        <w:rPr>
          <w:rStyle w:val="VerbatimChar"/>
        </w:rPr>
        <w:t xml:space="preserve">&lt;year&gt;</w:t>
      </w:r>
      <w:r>
        <w:t xml:space="preserve"> </w:t>
      </w:r>
      <w:r>
        <w:t xml:space="preserve">spans 1980–2020 in 5-year increments.</w:t>
      </w:r>
    </w:p>
    <w:p>
      <w:pPr>
        <w:pStyle w:val="SourceCode"/>
      </w:pPr>
      <w:r>
        <w:rPr>
          <w:rStyle w:val="CommentTok"/>
        </w:rPr>
        <w:t xml:space="preserve"># move all the cropped environmental variables from the &lt;alpha_code&gt;/_vars/</w:t>
      </w:r>
      <w:r>
        <w:br/>
      </w:r>
      <w:r>
        <w:rPr>
          <w:rStyle w:val="CommentTok"/>
        </w:rPr>
        <w:t xml:space="preserve">#  directory to 5-year bins within the &lt;alpha_code/TimeSeries/vars/ directory</w:t>
      </w:r>
      <w:r>
        <w:br/>
      </w:r>
      <w:r>
        <w:rPr>
          <w:rStyle w:val="CommentTok"/>
        </w:rPr>
        <w:t xml:space="preserve"># rENM.model::stage_all_variables(alpha_code)</w:t>
      </w:r>
    </w:p>
    <w:bookmarkEnd w:id="46"/>
    <w:bookmarkStart w:id="47" w:name="option-2---staging-with-down-selection"/>
    <w:p>
      <w:pPr>
        <w:pStyle w:val="Heading3"/>
      </w:pPr>
      <w:r>
        <w:t xml:space="preserve">- Option 2 - Staging with down selection</w:t>
      </w:r>
    </w:p>
    <w:p>
      <w:pPr>
        <w:pStyle w:val="FirstParagraph"/>
      </w:pPr>
      <w:r>
        <w:t xml:space="preserve">With this option, a Monte Carlo–based variable selection procedure (Schnase et al. 2022) is first applied to the variables in</w:t>
      </w:r>
      <w:r>
        <w:t xml:space="preserve"> </w:t>
      </w:r>
      <w:r>
        <w:rPr>
          <w:rStyle w:val="VerbatimChar"/>
        </w:rPr>
        <w:t xml:space="preserve">&lt;alpha_code&gt;/_vars/</w:t>
      </w:r>
      <w:r>
        <w:t xml:space="preserve">. This step identifies the highest-performing variables, which are then transferred to the</w:t>
      </w:r>
      <w:r>
        <w:t xml:space="preserve"> </w:t>
      </w:r>
      <w:r>
        <w:rPr>
          <w:rStyle w:val="VerbatimChar"/>
        </w:rPr>
        <w:t xml:space="preserve">TimeSeries</w:t>
      </w:r>
      <w:r>
        <w:t xml:space="preserve"> </w:t>
      </w:r>
      <w:r>
        <w:t xml:space="preserve">directory for further processing.</w:t>
      </w:r>
    </w:p>
    <w:p>
      <w:pPr>
        <w:pStyle w:val="SourceCode"/>
      </w:pPr>
      <w:r>
        <w:rPr>
          <w:rStyle w:val="CommentTok"/>
        </w:rPr>
        <w:t xml:space="preserve"># down select variables (maxent version)</w:t>
      </w:r>
      <w:r>
        <w:br/>
      </w:r>
      <w:r>
        <w:rPr>
          <w:rStyle w:val="CommentTok"/>
        </w:rPr>
        <w:t xml:space="preserve"># rENM.model::screen_by_convergence1(alpha_code)</w:t>
      </w:r>
      <w:r>
        <w:br/>
      </w:r>
      <w:r>
        <w:br/>
      </w:r>
      <w:r>
        <w:rPr>
          <w:rStyle w:val="CommentTok"/>
        </w:rPr>
        <w:t xml:space="preserve"># down select variables (maxnet version)</w:t>
      </w:r>
      <w:r>
        <w:br/>
      </w:r>
      <w:r>
        <w:rPr>
          <w:rStyle w:val="NormalTok"/>
        </w:rPr>
        <w:t xml:space="preserve">rENM.model</w:t>
      </w:r>
      <w:r>
        <w:rPr>
          <w:rStyle w:val="SpecialCharTok"/>
        </w:rPr>
        <w:t xml:space="preserve">::</w:t>
      </w:r>
      <w:r>
        <w:rPr>
          <w:rStyle w:val="FunctionTok"/>
        </w:rPr>
        <w:t xml:space="preserve">screen_by_convergence2</w:t>
      </w:r>
      <w:r>
        <w:rPr>
          <w:rStyle w:val="NormalTok"/>
        </w:rPr>
        <w:t xml:space="preserve">(alpha_code)</w:t>
      </w:r>
    </w:p>
    <w:p>
      <w:pPr>
        <w:pStyle w:val="SourceCode"/>
      </w:pPr>
      <w:r>
        <w:rPr>
          <w:rStyle w:val="CommentTok"/>
        </w:rPr>
        <w:t xml:space="preserve"># move the down selected, cropped environmental variables from the </w:t>
      </w:r>
      <w:r>
        <w:br/>
      </w:r>
      <w:r>
        <w:rPr>
          <w:rStyle w:val="CommentTok"/>
        </w:rPr>
        <w:t xml:space="preserve">#  the &lt;alpha_code&gt;/_vars/ directory to 5-year bins within the </w:t>
      </w:r>
      <w:r>
        <w:br/>
      </w:r>
      <w:r>
        <w:rPr>
          <w:rStyle w:val="CommentTok"/>
        </w:rPr>
        <w:t xml:space="preserve">#  &lt;alpha_code/TimeSeries/vars/ directory</w:t>
      </w:r>
      <w:r>
        <w:br/>
      </w:r>
      <w:r>
        <w:rPr>
          <w:rStyle w:val="NormalTok"/>
        </w:rPr>
        <w:t xml:space="preserve">rENM.model</w:t>
      </w:r>
      <w:r>
        <w:rPr>
          <w:rStyle w:val="SpecialCharTok"/>
        </w:rPr>
        <w:t xml:space="preserve">::</w:t>
      </w:r>
      <w:r>
        <w:rPr>
          <w:rStyle w:val="FunctionTok"/>
        </w:rPr>
        <w:t xml:space="preserve">stage_screened_variables</w:t>
      </w:r>
      <w:r>
        <w:rPr>
          <w:rStyle w:val="NormalTok"/>
        </w:rPr>
        <w:t xml:space="preserve">(alpha_code)</w:t>
      </w:r>
    </w:p>
    <w:bookmarkEnd w:id="47"/>
    <w:bookmarkEnd w:id="48"/>
    <w:bookmarkStart w:id="49" w:name="reducing-covariance"/>
    <w:p>
      <w:pPr>
        <w:pStyle w:val="Heading2"/>
      </w:pPr>
      <w:r>
        <w:t xml:space="preserve">7.3 Reducing covariance</w:t>
      </w:r>
    </w:p>
    <w:p>
      <w:pPr>
        <w:pStyle w:val="FirstParagraph"/>
      </w:pPr>
      <w:r>
        <w:t xml:space="preserve">This optional step reduces covariance among the staged environmental variables, records the results, and retains a subset of non-collinear predictors for further processing. By default, a “light-touch” approach is applied using variance inflation factors (VIF) and pairwise correlation thresholds. A relaxed VIF threshold (10) and a high correlation threshold (0.95) are used to remove only strongly redundant variables while preserving alternative representations of environmental gradients. This helps maintain the key dimensions of environmental structure identified during earlier screening steps. In practice, improved representation of environmental structure may be achieved by omitting this step.</w:t>
      </w:r>
    </w:p>
    <w:p>
      <w:pPr>
        <w:pStyle w:val="SourceCode"/>
      </w:pPr>
      <w:r>
        <w:rPr>
          <w:rStyle w:val="CommentTok"/>
        </w:rPr>
        <w:t xml:space="preserve"># reduce covariance among staged variables</w:t>
      </w:r>
      <w:r>
        <w:br/>
      </w:r>
      <w:r>
        <w:rPr>
          <w:rStyle w:val="CommentTok"/>
        </w:rPr>
        <w:t xml:space="preserve"># rENM.model::reduce_covariance(alpha_code)</w:t>
      </w:r>
    </w:p>
    <w:bookmarkEnd w:id="49"/>
    <w:bookmarkStart w:id="50" w:name="computing-the-time-series"/>
    <w:p>
      <w:pPr>
        <w:pStyle w:val="Heading2"/>
      </w:pPr>
      <w:r>
        <w:t xml:space="preserve">7.4 Computing the time series</w:t>
      </w:r>
    </w:p>
    <w:p>
      <w:pPr>
        <w:pStyle w:val="FirstParagraph"/>
      </w:pPr>
      <w:r>
        <w:t xml:space="preserve">With occurrence records and environmental variables staged, the next step is to generate a time series of ensemble models. The</w:t>
      </w:r>
      <w:r>
        <w:t xml:space="preserve"> </w:t>
      </w:r>
      <w:r>
        <w:rPr>
          <w:rStyle w:val="VerbatimChar"/>
        </w:rPr>
        <w:t xml:space="preserve">create_timeseries()</w:t>
      </w:r>
      <w:r>
        <w:t xml:space="preserve"> </w:t>
      </w:r>
      <w:r>
        <w:t xml:space="preserve">function orchestrates this process by making parallel calls to</w:t>
      </w:r>
      <w:r>
        <w:t xml:space="preserve"> </w:t>
      </w:r>
      <w:r>
        <w:rPr>
          <w:rStyle w:val="VerbatimChar"/>
        </w:rPr>
        <w:t xml:space="preserve">create_ensemble_model()</w:t>
      </w:r>
      <w:r>
        <w:t xml:space="preserve"> </w:t>
      </w:r>
      <w:r>
        <w:t xml:space="preserve">to build models for each temporal bin. By default, ensemble predictions are computed as the unweighted average of five model types:</w:t>
      </w:r>
      <w:r>
        <w:t xml:space="preserve"> </w:t>
      </w:r>
      <w:r>
        <w:rPr>
          <w:rStyle w:val="VerbatimChar"/>
        </w:rPr>
        <w:t xml:space="preserve">maxnet</w:t>
      </w:r>
      <w:r>
        <w:t xml:space="preserve">, random forest (</w:t>
      </w:r>
      <w:r>
        <w:rPr>
          <w:rStyle w:val="VerbatimChar"/>
        </w:rPr>
        <w:t xml:space="preserve">rf</w:t>
      </w:r>
      <w:r>
        <w:t xml:space="preserve">), boosted regression trees (</w:t>
      </w:r>
      <w:r>
        <w:rPr>
          <w:rStyle w:val="VerbatimChar"/>
        </w:rPr>
        <w:t xml:space="preserve">brt</w:t>
      </w:r>
      <w:r>
        <w:t xml:space="preserve">), generalized linear models (</w:t>
      </w:r>
      <w:r>
        <w:rPr>
          <w:rStyle w:val="VerbatimChar"/>
        </w:rPr>
        <w:t xml:space="preserve">glm</w:t>
      </w:r>
      <w:r>
        <w:t xml:space="preserve">), and multivariate adaptive regression splines (</w:t>
      </w:r>
      <w:r>
        <w:rPr>
          <w:rStyle w:val="VerbatimChar"/>
        </w:rPr>
        <w:t xml:space="preserve">mars</w:t>
      </w:r>
      <w:r>
        <w:t xml:space="preserve">). For additional details and configuration options, refer to the documentation by running</w:t>
      </w:r>
      <w:r>
        <w:t xml:space="preserve"> </w:t>
      </w:r>
      <w:r>
        <w:rPr>
          <w:rStyle w:val="VerbatimChar"/>
        </w:rPr>
        <w:t xml:space="preserve">?create_ensemble_model</w:t>
      </w:r>
      <w:r>
        <w:t xml:space="preserve"> </w:t>
      </w:r>
      <w:r>
        <w:t xml:space="preserve">in the RStudio console.</w:t>
      </w:r>
    </w:p>
    <w:p>
      <w:pPr>
        <w:pStyle w:val="SourceCode"/>
      </w:pPr>
      <w:r>
        <w:rPr>
          <w:rStyle w:val="CommentTok"/>
        </w:rPr>
        <w:t xml:space="preserve"># create an rENM time series</w:t>
      </w:r>
      <w:r>
        <w:br/>
      </w:r>
      <w:r>
        <w:rPr>
          <w:rStyle w:val="NormalTok"/>
        </w:rPr>
        <w:t xml:space="preserve">rENM.model</w:t>
      </w:r>
      <w:r>
        <w:rPr>
          <w:rStyle w:val="SpecialCharTok"/>
        </w:rPr>
        <w:t xml:space="preserve">::</w:t>
      </w:r>
      <w:r>
        <w:rPr>
          <w:rStyle w:val="FunctionTok"/>
        </w:rPr>
        <w:t xml:space="preserve">create_timeseries</w:t>
      </w:r>
      <w:r>
        <w:rPr>
          <w:rStyle w:val="NormalTok"/>
        </w:rPr>
        <w:t xml:space="preserve">(alpha_code)</w:t>
      </w:r>
    </w:p>
    <w:bookmarkEnd w:id="50"/>
    <w:bookmarkEnd w:id="51"/>
    <w:bookmarkStart w:id="66" w:name="time-series-analysis"/>
    <w:p>
      <w:pPr>
        <w:pStyle w:val="Heading1"/>
      </w:pPr>
      <w:r>
        <w:t xml:space="preserve">8. Time Series Analysis</w:t>
      </w:r>
    </w:p>
    <w:bookmarkStart w:id="56" w:name="suitability-trend-analysis"/>
    <w:p>
      <w:pPr>
        <w:pStyle w:val="Heading2"/>
      </w:pPr>
      <w:r>
        <w:t xml:space="preserve">8.1 Suitability trend analysis</w:t>
      </w:r>
    </w:p>
    <w:bookmarkStart w:id="52" w:name="finding-the-suitability-trend"/>
    <w:p>
      <w:pPr>
        <w:pStyle w:val="Heading3"/>
      </w:pPr>
      <w:r>
        <w:t xml:space="preserve">- Finding the suitability trend</w:t>
      </w:r>
    </w:p>
    <w:p>
      <w:pPr>
        <w:pStyle w:val="FirstParagraph"/>
      </w:pPr>
      <w:r>
        <w:t xml:space="preserve">This required step computes per-cell Theil–Sen trend estimates from the time series of predicted suitability rasters and derives Mann–Kendall statistics (p-values and Z-scores) to assess temporal trends in climatic suitability. The resulting trend raster serves as the foundation for subsequent analyses.</w:t>
      </w:r>
    </w:p>
    <w:p>
      <w:pPr>
        <w:pStyle w:val="SourceCode"/>
      </w:pPr>
      <w:r>
        <w:rPr>
          <w:rStyle w:val="CommentTok"/>
        </w:rPr>
        <w:t xml:space="preserve"># compute the thiel-sen trend across the time series</w:t>
      </w:r>
      <w:r>
        <w:br/>
      </w:r>
      <w:r>
        <w:rPr>
          <w:rStyle w:val="NormalTok"/>
        </w:rPr>
        <w:t xml:space="preserve">rENM.analysis</w:t>
      </w:r>
      <w:r>
        <w:rPr>
          <w:rStyle w:val="SpecialCharTok"/>
        </w:rPr>
        <w:t xml:space="preserve">::</w:t>
      </w:r>
      <w:r>
        <w:rPr>
          <w:rStyle w:val="FunctionTok"/>
        </w:rPr>
        <w:t xml:space="preserve">find_suitability_trend</w:t>
      </w:r>
      <w:r>
        <w:rPr>
          <w:rStyle w:val="NormalTok"/>
        </w:rPr>
        <w:t xml:space="preserve">(alpha_code)</w:t>
      </w:r>
    </w:p>
    <w:bookmarkEnd w:id="52"/>
    <w:bookmarkStart w:id="53" w:name="finding-overall-trend-percentages"/>
    <w:p>
      <w:pPr>
        <w:pStyle w:val="Heading3"/>
      </w:pPr>
      <w:r>
        <w:t xml:space="preserve">- Finding overall trend percentages</w:t>
      </w:r>
    </w:p>
    <w:p>
      <w:pPr>
        <w:pStyle w:val="FirstParagraph"/>
      </w:pPr>
      <w:r>
        <w:t xml:space="preserve">This is the first of several different ways of studying the suitability trends that we’ve derived from our rENM time series. This step provides an initial summary of the suitability trends derived from the rENM time series. The function below computes cell-wise trend sign statistics from the suitability trend raster and summarizes the proportions of positive, negative, and neutral (zero) trends</w:t>
      </w:r>
      <w:r>
        <w:t xml:space="preserve"> </w:t>
      </w:r>
      <w:r>
        <w:rPr>
          <w:i/>
          <w:iCs/>
        </w:rPr>
        <w:t xml:space="preserve">across the full modeled extent.</w:t>
      </w:r>
    </w:p>
    <w:p>
      <w:pPr>
        <w:pStyle w:val="SourceCode"/>
      </w:pPr>
      <w:r>
        <w:rPr>
          <w:rStyle w:val="CommentTok"/>
        </w:rPr>
        <w:t xml:space="preserve"># find proportions of pos, neg, and zero values across modeled extent</w:t>
      </w:r>
      <w:r>
        <w:br/>
      </w:r>
      <w:r>
        <w:rPr>
          <w:rStyle w:val="NormalTok"/>
        </w:rPr>
        <w:t xml:space="preserve">rENM.analysis</w:t>
      </w:r>
      <w:r>
        <w:rPr>
          <w:rStyle w:val="SpecialCharTok"/>
        </w:rPr>
        <w:t xml:space="preserve">::</w:t>
      </w:r>
      <w:r>
        <w:rPr>
          <w:rStyle w:val="FunctionTok"/>
        </w:rPr>
        <w:t xml:space="preserve">find_trend_percentages</w:t>
      </w:r>
      <w:r>
        <w:rPr>
          <w:rStyle w:val="NormalTok"/>
        </w:rPr>
        <w:t xml:space="preserve">(alpha_code)</w:t>
      </w:r>
    </w:p>
    <w:bookmarkEnd w:id="53"/>
    <w:bookmarkStart w:id="54" w:name="finding-range-trend-percentages"/>
    <w:p>
      <w:pPr>
        <w:pStyle w:val="Heading3"/>
      </w:pPr>
      <w:r>
        <w:t xml:space="preserve">- Finding range trend percentages</w:t>
      </w:r>
    </w:p>
    <w:p>
      <w:pPr>
        <w:pStyle w:val="FirstParagraph"/>
      </w:pPr>
      <w:r>
        <w:t xml:space="preserve">The function below computes cell-wise trend sign statistics from the suitability trend raster and summarizes the proportions of positive, negative, and neutral (zero) trends</w:t>
      </w:r>
      <w:r>
        <w:t xml:space="preserve"> </w:t>
      </w:r>
      <w:r>
        <w:rPr>
          <w:i/>
          <w:iCs/>
        </w:rPr>
        <w:t xml:space="preserve">within the species’ USGS GAP range.</w:t>
      </w:r>
    </w:p>
    <w:p>
      <w:pPr>
        <w:pStyle w:val="SourceCode"/>
      </w:pPr>
      <w:r>
        <w:rPr>
          <w:rStyle w:val="CommentTok"/>
        </w:rPr>
        <w:t xml:space="preserve"># find proportions of pos, neg, and zero values across USGS GAP range</w:t>
      </w:r>
      <w:r>
        <w:br/>
      </w:r>
      <w:r>
        <w:rPr>
          <w:rStyle w:val="NormalTok"/>
        </w:rPr>
        <w:t xml:space="preserve">rENM.analysis</w:t>
      </w:r>
      <w:r>
        <w:rPr>
          <w:rStyle w:val="SpecialCharTok"/>
        </w:rPr>
        <w:t xml:space="preserve">::</w:t>
      </w:r>
      <w:r>
        <w:rPr>
          <w:rStyle w:val="FunctionTok"/>
        </w:rPr>
        <w:t xml:space="preserve">find_range_change_percentages</w:t>
      </w:r>
      <w:r>
        <w:rPr>
          <w:rStyle w:val="NormalTok"/>
        </w:rPr>
        <w:t xml:space="preserve">(alpha_code)</w:t>
      </w:r>
    </w:p>
    <w:bookmarkEnd w:id="54"/>
    <w:bookmarkStart w:id="55" w:name="finding-state-level-suitability-trends"/>
    <w:p>
      <w:pPr>
        <w:pStyle w:val="Heading3"/>
      </w:pPr>
      <w:r>
        <w:t xml:space="preserve">- Finding state-level suitability trends</w:t>
      </w:r>
    </w:p>
    <w:p>
      <w:pPr>
        <w:pStyle w:val="FirstParagraph"/>
      </w:pPr>
      <w:r>
        <w:t xml:space="preserve">We can now perform a state-level analysis of climatic suitability trends based on the species’ USGS GAP range. The function below computes summary metrics for each state intersecting the GAP range and generates a map illustrating spatial patterns alongside state-level statistics.</w:t>
      </w:r>
    </w:p>
    <w:p>
      <w:pPr>
        <w:pStyle w:val="SourceCode"/>
      </w:pPr>
      <w:r>
        <w:rPr>
          <w:rStyle w:val="CommentTok"/>
        </w:rPr>
        <w:t xml:space="preserve"># create state-level suitability trend analysis and map for a species</w:t>
      </w:r>
      <w:r>
        <w:br/>
      </w:r>
      <w:r>
        <w:rPr>
          <w:rStyle w:val="NormalTok"/>
        </w:rPr>
        <w:t xml:space="preserve">rENM.analysis</w:t>
      </w:r>
      <w:r>
        <w:rPr>
          <w:rStyle w:val="SpecialCharTok"/>
        </w:rPr>
        <w:t xml:space="preserve">::</w:t>
      </w:r>
      <w:r>
        <w:rPr>
          <w:rStyle w:val="FunctionTok"/>
        </w:rPr>
        <w:t xml:space="preserve">create_state_trend_analysis</w:t>
      </w:r>
      <w:r>
        <w:rPr>
          <w:rStyle w:val="NormalTok"/>
        </w:rPr>
        <w:t xml:space="preserve">(alpha_code)</w:t>
      </w:r>
    </w:p>
    <w:bookmarkEnd w:id="55"/>
    <w:bookmarkEnd w:id="56"/>
    <w:bookmarkStart w:id="59" w:name="centroid-trend-analysis"/>
    <w:p>
      <w:pPr>
        <w:pStyle w:val="Heading2"/>
      </w:pPr>
      <w:r>
        <w:t xml:space="preserve">8.2 Centroid trend analysis</w:t>
      </w:r>
    </w:p>
    <w:bookmarkStart w:id="57" w:name="finding-temporal-trends"/>
    <w:p>
      <w:pPr>
        <w:pStyle w:val="Heading3"/>
      </w:pPr>
      <w:r>
        <w:t xml:space="preserve">- Finding temporal trends</w:t>
      </w:r>
    </w:p>
    <w:p>
      <w:pPr>
        <w:pStyle w:val="FirstParagraph"/>
      </w:pPr>
      <w:r>
        <w:t xml:space="preserve">Another approach to analyzing climatic suitability trends is to examine spatial shifts in the weighted centroid of suitability over time. This function fits Bayesian linear models to annual centroid coordinates (latitude and longitude) and writes the resulting plots and summary statistics to the species’ run directory.</w:t>
      </w:r>
    </w:p>
    <w:p>
      <w:pPr>
        <w:pStyle w:val="SourceCode"/>
      </w:pPr>
      <w:r>
        <w:rPr>
          <w:rStyle w:val="CommentTok"/>
        </w:rPr>
        <w:t xml:space="preserve"># analyze temporal trends in suitability centroids</w:t>
      </w:r>
      <w:r>
        <w:br/>
      </w:r>
      <w:r>
        <w:rPr>
          <w:rStyle w:val="NormalTok"/>
        </w:rPr>
        <w:t xml:space="preserve">rENM.analysis</w:t>
      </w:r>
      <w:r>
        <w:rPr>
          <w:rStyle w:val="SpecialCharTok"/>
        </w:rPr>
        <w:t xml:space="preserve">::</w:t>
      </w:r>
      <w:r>
        <w:rPr>
          <w:rStyle w:val="FunctionTok"/>
        </w:rPr>
        <w:t xml:space="preserve">analyze_weighted_centroids</w:t>
      </w:r>
      <w:r>
        <w:rPr>
          <w:rStyle w:val="NormalTok"/>
        </w:rPr>
        <w:t xml:space="preserve">(alpha_code)</w:t>
      </w:r>
    </w:p>
    <w:bookmarkEnd w:id="57"/>
    <w:bookmarkStart w:id="58" w:name="finding-bioclimatic-velocity"/>
    <w:p>
      <w:pPr>
        <w:pStyle w:val="Heading3"/>
      </w:pPr>
      <w:r>
        <w:t xml:space="preserve">- Finding bioclimatic velocity</w:t>
      </w:r>
    </w:p>
    <w:p>
      <w:pPr>
        <w:pStyle w:val="FirstParagraph"/>
      </w:pPr>
      <w:r>
        <w:t xml:space="preserve">Historical centroid trajectories can also be used to quantify the direction, distance, and velocity of suitability shifts. This step computes these metrics and writes the results to the species’ run directory.</w:t>
      </w:r>
    </w:p>
    <w:p>
      <w:pPr>
        <w:pStyle w:val="SourceCode"/>
      </w:pPr>
      <w:r>
        <w:rPr>
          <w:rStyle w:val="CommentTok"/>
        </w:rPr>
        <w:t xml:space="preserve"># finds bioclimatic verlocity from weighted centroids</w:t>
      </w:r>
      <w:r>
        <w:br/>
      </w:r>
      <w:r>
        <w:rPr>
          <w:rStyle w:val="NormalTok"/>
        </w:rPr>
        <w:t xml:space="preserve">rENM.analysis</w:t>
      </w:r>
      <w:r>
        <w:rPr>
          <w:rStyle w:val="SpecialCharTok"/>
        </w:rPr>
        <w:t xml:space="preserve">::</w:t>
      </w:r>
      <w:r>
        <w:rPr>
          <w:rStyle w:val="FunctionTok"/>
        </w:rPr>
        <w:t xml:space="preserve">find_bioclimatic_velocity</w:t>
      </w:r>
      <w:r>
        <w:rPr>
          <w:rStyle w:val="NormalTok"/>
        </w:rPr>
        <w:t xml:space="preserve">(alpha_code)</w:t>
      </w:r>
    </w:p>
    <w:p>
      <w:pPr>
        <w:pStyle w:val="FirstParagraph"/>
      </w:pPr>
      <w:r>
        <w:t xml:space="preserve">To support visualization of long-term shifts, this function generates a suitability trend map with an overlay of the centroid displacement vector. The resulting map is saved to the species’ run directory.</w:t>
      </w:r>
    </w:p>
    <w:p>
      <w:pPr>
        <w:pStyle w:val="SourceCode"/>
      </w:pPr>
      <w:r>
        <w:rPr>
          <w:rStyle w:val="CommentTok"/>
        </w:rPr>
        <w:t xml:space="preserve"># plot and save suitability trend map with centroids</w:t>
      </w:r>
      <w:r>
        <w:br/>
      </w:r>
      <w:r>
        <w:rPr>
          <w:rStyle w:val="NormalTok"/>
        </w:rPr>
        <w:t xml:space="preserve">rENM.analysis</w:t>
      </w:r>
      <w:r>
        <w:rPr>
          <w:rStyle w:val="SpecialCharTok"/>
        </w:rPr>
        <w:t xml:space="preserve">::</w:t>
      </w:r>
      <w:r>
        <w:rPr>
          <w:rStyle w:val="FunctionTok"/>
        </w:rPr>
        <w:t xml:space="preserve">save_trend_plot_with_centroids</w:t>
      </w:r>
      <w:r>
        <w:rPr>
          <w:rStyle w:val="NormalTok"/>
        </w:rPr>
        <w:t xml:space="preserve">(alpha_code)</w:t>
      </w:r>
    </w:p>
    <w:bookmarkEnd w:id="58"/>
    <w:bookmarkEnd w:id="59"/>
    <w:bookmarkStart w:id="62" w:name="variable-trend-analysis"/>
    <w:p>
      <w:pPr>
        <w:pStyle w:val="Heading2"/>
      </w:pPr>
      <w:r>
        <w:t xml:space="preserve">8.3 Variable trend analysis</w:t>
      </w:r>
    </w:p>
    <w:bookmarkStart w:id="60" w:name="gathering-ranked-variables"/>
    <w:p>
      <w:pPr>
        <w:pStyle w:val="Heading3"/>
      </w:pPr>
      <w:r>
        <w:t xml:space="preserve">- Gathering ranked variables</w:t>
      </w:r>
    </w:p>
    <w:p>
      <w:pPr>
        <w:pStyle w:val="FirstParagraph"/>
      </w:pPr>
      <w:r>
        <w:t xml:space="preserve">This step consolidates ranked variable importance results across the time series into a single summary dataset for the species. The output is a unified CSV file that can be used for subsequent variable analysis.</w:t>
      </w:r>
    </w:p>
    <w:p>
      <w:pPr>
        <w:pStyle w:val="SourceCode"/>
      </w:pPr>
      <w:r>
        <w:rPr>
          <w:rStyle w:val="CommentTok"/>
        </w:rPr>
        <w:t xml:space="preserve"># gather variable rankings</w:t>
      </w:r>
      <w:r>
        <w:br/>
      </w:r>
      <w:r>
        <w:rPr>
          <w:rStyle w:val="NormalTok"/>
        </w:rPr>
        <w:t xml:space="preserve">rENM.analysis</w:t>
      </w:r>
      <w:r>
        <w:rPr>
          <w:rStyle w:val="SpecialCharTok"/>
        </w:rPr>
        <w:t xml:space="preserve">::</w:t>
      </w:r>
      <w:r>
        <w:rPr>
          <w:rStyle w:val="FunctionTok"/>
        </w:rPr>
        <w:t xml:space="preserve">gather_variable_contributions</w:t>
      </w:r>
      <w:r>
        <w:rPr>
          <w:rStyle w:val="NormalTok"/>
        </w:rPr>
        <w:t xml:space="preserve">(alpha_code)</w:t>
      </w:r>
    </w:p>
    <w:bookmarkEnd w:id="60"/>
    <w:bookmarkStart w:id="61" w:name="summarizing-variable-contributions"/>
    <w:p>
      <w:pPr>
        <w:pStyle w:val="Heading3"/>
      </w:pPr>
      <w:r>
        <w:t xml:space="preserve">- Summarizing variable contributions</w:t>
      </w:r>
    </w:p>
    <w:p>
      <w:pPr>
        <w:pStyle w:val="FirstParagraph"/>
      </w:pPr>
      <w:r>
        <w:t xml:space="preserve">Using this summary, this function selects variables based on average relative contribution and generates a comprehensive set of visualizations and summary statistics.</w:t>
      </w:r>
    </w:p>
    <w:p>
      <w:pPr>
        <w:pStyle w:val="SourceCode"/>
      </w:pPr>
      <w:r>
        <w:rPr>
          <w:rStyle w:val="CommentTok"/>
        </w:rPr>
        <w:t xml:space="preserve"># summarize variable contributions</w:t>
      </w:r>
      <w:r>
        <w:br/>
      </w:r>
      <w:r>
        <w:rPr>
          <w:rStyle w:val="NormalTok"/>
        </w:rPr>
        <w:t xml:space="preserve">rENM.analysis</w:t>
      </w:r>
      <w:r>
        <w:rPr>
          <w:rStyle w:val="SpecialCharTok"/>
        </w:rPr>
        <w:t xml:space="preserve">::</w:t>
      </w:r>
      <w:r>
        <w:rPr>
          <w:rStyle w:val="FunctionTok"/>
        </w:rPr>
        <w:t xml:space="preserve">summarize_variable_contributions</w:t>
      </w:r>
      <w:r>
        <w:rPr>
          <w:rStyle w:val="NormalTok"/>
        </w:rPr>
        <w:t xml:space="preserve">(alpha_code)</w:t>
      </w:r>
    </w:p>
    <w:bookmarkEnd w:id="61"/>
    <w:bookmarkEnd w:id="62"/>
    <w:bookmarkStart w:id="65" w:name="experimental-metrics"/>
    <w:p>
      <w:pPr>
        <w:pStyle w:val="Heading2"/>
      </w:pPr>
      <w:r>
        <w:t xml:space="preserve">8.4 Experimental metrics</w:t>
      </w:r>
    </w:p>
    <w:bookmarkStart w:id="63" w:name="bioclimatic-acceleration"/>
    <w:p>
      <w:pPr>
        <w:pStyle w:val="Heading3"/>
      </w:pPr>
      <w:r>
        <w:t xml:space="preserve">- Bioclimatic acceleration</w:t>
      </w:r>
    </w:p>
    <w:p>
      <w:pPr>
        <w:pStyle w:val="FirstParagraph"/>
      </w:pPr>
      <w:r>
        <w:t xml:space="preserve">The following function wraps</w:t>
      </w:r>
      <w:r>
        <w:t xml:space="preserve"> </w:t>
      </w:r>
      <w:r>
        <w:rPr>
          <w:i/>
          <w:iCs/>
        </w:rPr>
        <w:t xml:space="preserve">find_suitability_change_trend()</w:t>
      </w:r>
      <w:r>
        <w:t xml:space="preserve"> </w:t>
      </w:r>
      <w:r>
        <w:t xml:space="preserve">and</w:t>
      </w:r>
      <w:r>
        <w:t xml:space="preserve"> </w:t>
      </w:r>
      <w:r>
        <w:rPr>
          <w:i/>
          <w:iCs/>
        </w:rPr>
        <w:t xml:space="preserve">plot_suitability_change_trend()</w:t>
      </w:r>
      <w:r>
        <w:t xml:space="preserve"> </w:t>
      </w:r>
      <w:r>
        <w:t xml:space="preserve">to generate a map highlighting areas of accelerating and decelerating trends in climatic suitability. This step is experimental but provides an additional perspective on the spatial and temporal dynamics of historical climatic influences on suitability.</w:t>
      </w:r>
    </w:p>
    <w:p>
      <w:pPr>
        <w:pStyle w:val="SourceCode"/>
      </w:pPr>
      <w:r>
        <w:rPr>
          <w:rStyle w:val="CommentTok"/>
        </w:rPr>
        <w:t xml:space="preserve"># create a climatic suitability trend acceleration/deceleration map</w:t>
      </w:r>
      <w:r>
        <w:br/>
      </w:r>
      <w:r>
        <w:rPr>
          <w:rStyle w:val="NormalTok"/>
        </w:rPr>
        <w:t xml:space="preserve">rENM.analysis</w:t>
      </w:r>
      <w:r>
        <w:rPr>
          <w:rStyle w:val="SpecialCharTok"/>
        </w:rPr>
        <w:t xml:space="preserve">::</w:t>
      </w:r>
      <w:r>
        <w:rPr>
          <w:rStyle w:val="FunctionTok"/>
        </w:rPr>
        <w:t xml:space="preserve">create_suitability_change_map</w:t>
      </w:r>
      <w:r>
        <w:rPr>
          <w:rStyle w:val="NormalTok"/>
        </w:rPr>
        <w:t xml:space="preserve">(alpha_code)</w:t>
      </w:r>
    </w:p>
    <w:bookmarkEnd w:id="63"/>
    <w:bookmarkStart w:id="64" w:name="hot-spot-analysis"/>
    <w:p>
      <w:pPr>
        <w:pStyle w:val="Heading3"/>
      </w:pPr>
      <w:r>
        <w:t xml:space="preserve">- Hot spot analysis</w:t>
      </w:r>
    </w:p>
    <w:p>
      <w:pPr>
        <w:pStyle w:val="FirstParagraph"/>
      </w:pPr>
      <w:r>
        <w:t xml:space="preserve">This metric identifies areas where climatic suitability is declining at an increasing rate. The function generates a map highlighting these regions. This analysis is exploratory and may provide insight into areas of heightened vulnerability to climate change.</w:t>
      </w:r>
    </w:p>
    <w:p>
      <w:pPr>
        <w:pStyle w:val="SourceCode"/>
      </w:pPr>
      <w:r>
        <w:rPr>
          <w:rStyle w:val="CommentTok"/>
        </w:rPr>
        <w:t xml:space="preserve"># create a hot spot map</w:t>
      </w:r>
      <w:r>
        <w:br/>
      </w:r>
      <w:r>
        <w:rPr>
          <w:rStyle w:val="NormalTok"/>
        </w:rPr>
        <w:t xml:space="preserve">rENM.analysis</w:t>
      </w:r>
      <w:r>
        <w:rPr>
          <w:rStyle w:val="SpecialCharTok"/>
        </w:rPr>
        <w:t xml:space="preserve">::</w:t>
      </w:r>
      <w:r>
        <w:rPr>
          <w:rStyle w:val="FunctionTok"/>
        </w:rPr>
        <w:t xml:space="preserve">create_hot_spot_map</w:t>
      </w:r>
      <w:r>
        <w:rPr>
          <w:rStyle w:val="NormalTok"/>
        </w:rPr>
        <w:t xml:space="preserve">(alpha_code)</w:t>
      </w:r>
    </w:p>
    <w:bookmarkEnd w:id="64"/>
    <w:bookmarkEnd w:id="65"/>
    <w:bookmarkEnd w:id="66"/>
    <w:bookmarkStart w:id="70" w:name="report-generation"/>
    <w:p>
      <w:pPr>
        <w:pStyle w:val="Heading1"/>
      </w:pPr>
      <w:r>
        <w:t xml:space="preserve">9. Report Generation</w:t>
      </w:r>
    </w:p>
    <w:p>
      <w:pPr>
        <w:pStyle w:val="FirstParagraph"/>
      </w:pPr>
      <w:r>
        <w:t xml:space="preserve">The following functions compile key outputs from the preceding analysis steps to generate summary maps, tables, and reports. Because these functions depend on products created earlier in the workflow, all prior steps must be completed before proceeding to summary and report generation.</w:t>
      </w:r>
    </w:p>
    <w:bookmarkStart w:id="67" w:name="assemble-suitability-results"/>
    <w:p>
      <w:pPr>
        <w:pStyle w:val="Heading2"/>
      </w:pPr>
      <w:r>
        <w:t xml:space="preserve">9.1 Assemble suitability results</w:t>
      </w:r>
    </w:p>
    <w:p>
      <w:pPr>
        <w:pStyle w:val="SourceCode"/>
      </w:pPr>
      <w:r>
        <w:rPr>
          <w:rStyle w:val="CommentTok"/>
        </w:rPr>
        <w:t xml:space="preserve"># gather time series suitability maps</w:t>
      </w:r>
      <w:r>
        <w:br/>
      </w:r>
      <w:r>
        <w:rPr>
          <w:rStyle w:val="NormalTok"/>
        </w:rPr>
        <w:t xml:space="preserve">rENM.reports</w:t>
      </w:r>
      <w:r>
        <w:rPr>
          <w:rStyle w:val="SpecialCharTok"/>
        </w:rPr>
        <w:t xml:space="preserve">::</w:t>
      </w:r>
      <w:r>
        <w:rPr>
          <w:rStyle w:val="FunctionTok"/>
        </w:rPr>
        <w:t xml:space="preserve">gather_suitability_maps</w:t>
      </w:r>
      <w:r>
        <w:rPr>
          <w:rStyle w:val="NormalTok"/>
        </w:rPr>
        <w:t xml:space="preserve">(alpha_code)</w:t>
      </w:r>
      <w:r>
        <w:br/>
      </w:r>
      <w:r>
        <w:br/>
      </w:r>
      <w:r>
        <w:rPr>
          <w:rStyle w:val="CommentTok"/>
        </w:rPr>
        <w:t xml:space="preserve"># gather range maps</w:t>
      </w:r>
      <w:r>
        <w:br/>
      </w:r>
      <w:r>
        <w:rPr>
          <w:rStyle w:val="NormalTok"/>
        </w:rPr>
        <w:t xml:space="preserve">rENM.reports</w:t>
      </w:r>
      <w:r>
        <w:rPr>
          <w:rStyle w:val="SpecialCharTok"/>
        </w:rPr>
        <w:t xml:space="preserve">::</w:t>
      </w:r>
      <w:r>
        <w:rPr>
          <w:rStyle w:val="FunctionTok"/>
        </w:rPr>
        <w:t xml:space="preserve">gather_range_maps</w:t>
      </w:r>
      <w:r>
        <w:rPr>
          <w:rStyle w:val="NormalTok"/>
        </w:rPr>
        <w:t xml:space="preserve">(alpha_code)</w:t>
      </w:r>
      <w:r>
        <w:br/>
      </w:r>
      <w:r>
        <w:br/>
      </w:r>
      <w:r>
        <w:rPr>
          <w:rStyle w:val="CommentTok"/>
        </w:rPr>
        <w:t xml:space="preserve"># gather suitability trend and hot spot stats</w:t>
      </w:r>
      <w:r>
        <w:br/>
      </w:r>
      <w:r>
        <w:rPr>
          <w:rStyle w:val="NormalTok"/>
        </w:rPr>
        <w:t xml:space="preserve">rENM.reports</w:t>
      </w:r>
      <w:r>
        <w:rPr>
          <w:rStyle w:val="SpecialCharTok"/>
        </w:rPr>
        <w:t xml:space="preserve">::</w:t>
      </w:r>
      <w:r>
        <w:rPr>
          <w:rStyle w:val="FunctionTok"/>
        </w:rPr>
        <w:t xml:space="preserve">gather_suitability_trend_stats</w:t>
      </w:r>
      <w:r>
        <w:rPr>
          <w:rStyle w:val="NormalTok"/>
        </w:rPr>
        <w:t xml:space="preserve">(alpha_code)</w:t>
      </w:r>
      <w:r>
        <w:br/>
      </w:r>
      <w:r>
        <w:br/>
      </w:r>
      <w:r>
        <w:rPr>
          <w:rStyle w:val="CommentTok"/>
        </w:rPr>
        <w:t xml:space="preserve"># create a suitability trend summary table</w:t>
      </w:r>
      <w:r>
        <w:br/>
      </w:r>
      <w:r>
        <w:rPr>
          <w:rStyle w:val="NormalTok"/>
        </w:rPr>
        <w:t xml:space="preserve">rENM.reports</w:t>
      </w:r>
      <w:r>
        <w:rPr>
          <w:rStyle w:val="SpecialCharTok"/>
        </w:rPr>
        <w:t xml:space="preserve">::</w:t>
      </w:r>
      <w:r>
        <w:rPr>
          <w:rStyle w:val="FunctionTok"/>
        </w:rPr>
        <w:t xml:space="preserve">create_suitability_trend_summary_table</w:t>
      </w:r>
      <w:r>
        <w:rPr>
          <w:rStyle w:val="NormalTok"/>
        </w:rPr>
        <w:t xml:space="preserve">(alpha_code)</w:t>
      </w:r>
      <w:r>
        <w:br/>
      </w:r>
      <w:r>
        <w:br/>
      </w:r>
      <w:r>
        <w:rPr>
          <w:rStyle w:val="CommentTok"/>
        </w:rPr>
        <w:t xml:space="preserve"># create a suitability time series summary page</w:t>
      </w:r>
      <w:r>
        <w:br/>
      </w:r>
      <w:r>
        <w:rPr>
          <w:rStyle w:val="NormalTok"/>
        </w:rPr>
        <w:t xml:space="preserve">rENM.reports</w:t>
      </w:r>
      <w:r>
        <w:rPr>
          <w:rStyle w:val="SpecialCharTok"/>
        </w:rPr>
        <w:t xml:space="preserve">::</w:t>
      </w:r>
      <w:r>
        <w:rPr>
          <w:rStyle w:val="FunctionTok"/>
        </w:rPr>
        <w:t xml:space="preserve">assemble_suitability_timeseries_page</w:t>
      </w:r>
      <w:r>
        <w:rPr>
          <w:rStyle w:val="NormalTok"/>
        </w:rPr>
        <w:t xml:space="preserve">(alpha_code)</w:t>
      </w:r>
      <w:r>
        <w:br/>
      </w:r>
      <w:r>
        <w:br/>
      </w:r>
      <w:r>
        <w:rPr>
          <w:rStyle w:val="CommentTok"/>
        </w:rPr>
        <w:t xml:space="preserve"># create a range time series summary page</w:t>
      </w:r>
      <w:r>
        <w:br/>
      </w:r>
      <w:r>
        <w:rPr>
          <w:rStyle w:val="NormalTok"/>
        </w:rPr>
        <w:t xml:space="preserve">rENM.reports</w:t>
      </w:r>
      <w:r>
        <w:rPr>
          <w:rStyle w:val="SpecialCharTok"/>
        </w:rPr>
        <w:t xml:space="preserve">::</w:t>
      </w:r>
      <w:r>
        <w:rPr>
          <w:rStyle w:val="FunctionTok"/>
        </w:rPr>
        <w:t xml:space="preserve">assemble_range_timeseries_page</w:t>
      </w:r>
      <w:r>
        <w:rPr>
          <w:rStyle w:val="NormalTok"/>
        </w:rPr>
        <w:t xml:space="preserve">(alpha_code)</w:t>
      </w:r>
      <w:r>
        <w:br/>
      </w:r>
      <w:r>
        <w:br/>
      </w:r>
      <w:r>
        <w:rPr>
          <w:rStyle w:val="CommentTok"/>
        </w:rPr>
        <w:t xml:space="preserve"># create a suitability trends, acceleration/decleration page</w:t>
      </w:r>
      <w:r>
        <w:br/>
      </w:r>
      <w:r>
        <w:rPr>
          <w:rStyle w:val="NormalTok"/>
        </w:rPr>
        <w:t xml:space="preserve">rENM.reports</w:t>
      </w:r>
      <w:r>
        <w:rPr>
          <w:rStyle w:val="SpecialCharTok"/>
        </w:rPr>
        <w:t xml:space="preserve">::</w:t>
      </w:r>
      <w:r>
        <w:rPr>
          <w:rStyle w:val="FunctionTok"/>
        </w:rPr>
        <w:t xml:space="preserve">assemble_suitability_trends_page</w:t>
      </w:r>
      <w:r>
        <w:rPr>
          <w:rStyle w:val="NormalTok"/>
        </w:rPr>
        <w:t xml:space="preserve">(alpha_code)</w:t>
      </w:r>
      <w:r>
        <w:br/>
      </w:r>
      <w:r>
        <w:br/>
      </w:r>
      <w:r>
        <w:rPr>
          <w:rStyle w:val="CommentTok"/>
        </w:rPr>
        <w:t xml:space="preserve"># create a state trends and state hot spot page</w:t>
      </w:r>
      <w:r>
        <w:br/>
      </w:r>
      <w:r>
        <w:rPr>
          <w:rStyle w:val="NormalTok"/>
        </w:rPr>
        <w:t xml:space="preserve">rENM.reports</w:t>
      </w:r>
      <w:r>
        <w:rPr>
          <w:rStyle w:val="SpecialCharTok"/>
        </w:rPr>
        <w:t xml:space="preserve">::</w:t>
      </w:r>
      <w:r>
        <w:rPr>
          <w:rStyle w:val="FunctionTok"/>
        </w:rPr>
        <w:t xml:space="preserve">assemble_state_trends_page</w:t>
      </w:r>
      <w:r>
        <w:rPr>
          <w:rStyle w:val="NormalTok"/>
        </w:rPr>
        <w:t xml:space="preserve">(alpha_code)</w:t>
      </w:r>
    </w:p>
    <w:bookmarkEnd w:id="67"/>
    <w:bookmarkStart w:id="68" w:name="assemble-variable-results"/>
    <w:p>
      <w:pPr>
        <w:pStyle w:val="Heading2"/>
      </w:pPr>
      <w:r>
        <w:t xml:space="preserve">9.2 Assemble variable results</w:t>
      </w:r>
    </w:p>
    <w:p>
      <w:pPr>
        <w:pStyle w:val="SourceCode"/>
      </w:pPr>
      <w:r>
        <w:rPr>
          <w:rStyle w:val="CommentTok"/>
        </w:rPr>
        <w:t xml:space="preserve"># create variable trend summary table</w:t>
      </w:r>
      <w:r>
        <w:br/>
      </w:r>
      <w:r>
        <w:rPr>
          <w:rStyle w:val="NormalTok"/>
        </w:rPr>
        <w:t xml:space="preserve">rENM.reports</w:t>
      </w:r>
      <w:r>
        <w:rPr>
          <w:rStyle w:val="SpecialCharTok"/>
        </w:rPr>
        <w:t xml:space="preserve">::</w:t>
      </w:r>
      <w:r>
        <w:rPr>
          <w:rStyle w:val="FunctionTok"/>
        </w:rPr>
        <w:t xml:space="preserve">create_variable_trend_summary_table</w:t>
      </w:r>
      <w:r>
        <w:rPr>
          <w:rStyle w:val="NormalTok"/>
        </w:rPr>
        <w:t xml:space="preserve">(alpha_code)</w:t>
      </w:r>
      <w:r>
        <w:br/>
      </w:r>
      <w:r>
        <w:br/>
      </w:r>
      <w:r>
        <w:rPr>
          <w:rStyle w:val="CommentTok"/>
        </w:rPr>
        <w:t xml:space="preserve"># create variable trends page</w:t>
      </w:r>
      <w:r>
        <w:br/>
      </w:r>
      <w:r>
        <w:rPr>
          <w:rStyle w:val="NormalTok"/>
        </w:rPr>
        <w:t xml:space="preserve">rENM.reports</w:t>
      </w:r>
      <w:r>
        <w:rPr>
          <w:rStyle w:val="SpecialCharTok"/>
        </w:rPr>
        <w:t xml:space="preserve">::</w:t>
      </w:r>
      <w:r>
        <w:rPr>
          <w:rStyle w:val="FunctionTok"/>
        </w:rPr>
        <w:t xml:space="preserve">assemble_variable_trends_page</w:t>
      </w:r>
      <w:r>
        <w:rPr>
          <w:rStyle w:val="NormalTok"/>
        </w:rPr>
        <w:t xml:space="preserve">(alpha_code)</w:t>
      </w:r>
      <w:r>
        <w:br/>
      </w:r>
      <w:r>
        <w:br/>
      </w:r>
      <w:r>
        <w:rPr>
          <w:rStyle w:val="CommentTok"/>
        </w:rPr>
        <w:t xml:space="preserve"># gather trend and rate-of-change maps for the top 10 variables</w:t>
      </w:r>
      <w:r>
        <w:br/>
      </w:r>
      <w:r>
        <w:rPr>
          <w:rStyle w:val="NormalTok"/>
        </w:rPr>
        <w:t xml:space="preserve">rENM.reports</w:t>
      </w:r>
      <w:r>
        <w:rPr>
          <w:rStyle w:val="SpecialCharTok"/>
        </w:rPr>
        <w:t xml:space="preserve">::</w:t>
      </w:r>
      <w:r>
        <w:rPr>
          <w:rStyle w:val="FunctionTok"/>
        </w:rPr>
        <w:t xml:space="preserve">gather_top_variable_trend_maps</w:t>
      </w:r>
      <w:r>
        <w:rPr>
          <w:rStyle w:val="NormalTok"/>
        </w:rPr>
        <w:t xml:space="preserve">(alpha_code)</w:t>
      </w:r>
      <w:r>
        <w:br/>
      </w:r>
      <w:r>
        <w:br/>
      </w:r>
      <w:r>
        <w:rPr>
          <w:rStyle w:val="CommentTok"/>
        </w:rPr>
        <w:t xml:space="preserve"># create summary page for the top 10 variables</w:t>
      </w:r>
      <w:r>
        <w:br/>
      </w:r>
      <w:r>
        <w:rPr>
          <w:rStyle w:val="NormalTok"/>
        </w:rPr>
        <w:t xml:space="preserve">rENM.reports</w:t>
      </w:r>
      <w:r>
        <w:rPr>
          <w:rStyle w:val="SpecialCharTok"/>
        </w:rPr>
        <w:t xml:space="preserve">::</w:t>
      </w:r>
      <w:r>
        <w:rPr>
          <w:rStyle w:val="FunctionTok"/>
        </w:rPr>
        <w:t xml:space="preserve">assemble_variable_trend_maps_page</w:t>
      </w:r>
      <w:r>
        <w:rPr>
          <w:rStyle w:val="NormalTok"/>
        </w:rPr>
        <w:t xml:space="preserve">(alpha_code)</w:t>
      </w:r>
    </w:p>
    <w:bookmarkEnd w:id="68"/>
    <w:bookmarkStart w:id="69" w:name="assemble-centroid-results"/>
    <w:p>
      <w:pPr>
        <w:pStyle w:val="Heading2"/>
      </w:pPr>
      <w:r>
        <w:t xml:space="preserve">9.3 Assemble centroid results</w:t>
      </w:r>
    </w:p>
    <w:p>
      <w:pPr>
        <w:pStyle w:val="SourceCode"/>
      </w:pPr>
      <w:r>
        <w:rPr>
          <w:rStyle w:val="CommentTok"/>
        </w:rPr>
        <w:t xml:space="preserve"># create centroid trend summary table</w:t>
      </w:r>
      <w:r>
        <w:br/>
      </w:r>
      <w:r>
        <w:rPr>
          <w:rStyle w:val="NormalTok"/>
        </w:rPr>
        <w:t xml:space="preserve">rENM.reports</w:t>
      </w:r>
      <w:r>
        <w:rPr>
          <w:rStyle w:val="SpecialCharTok"/>
        </w:rPr>
        <w:t xml:space="preserve">::</w:t>
      </w:r>
      <w:r>
        <w:rPr>
          <w:rStyle w:val="FunctionTok"/>
        </w:rPr>
        <w:t xml:space="preserve">create_centroid_trend_summary_table</w:t>
      </w:r>
      <w:r>
        <w:rPr>
          <w:rStyle w:val="NormalTok"/>
        </w:rPr>
        <w:t xml:space="preserve">(alpha_code)</w:t>
      </w:r>
      <w:r>
        <w:br/>
      </w:r>
      <w:r>
        <w:br/>
      </w:r>
      <w:r>
        <w:rPr>
          <w:rStyle w:val="CommentTok"/>
        </w:rPr>
        <w:t xml:space="preserve"># create a suitability trends with centroids page</w:t>
      </w:r>
      <w:r>
        <w:br/>
      </w:r>
      <w:r>
        <w:rPr>
          <w:rStyle w:val="NormalTok"/>
        </w:rPr>
        <w:t xml:space="preserve">rENM.reports</w:t>
      </w:r>
      <w:r>
        <w:rPr>
          <w:rStyle w:val="SpecialCharTok"/>
        </w:rPr>
        <w:t xml:space="preserve">::</w:t>
      </w:r>
      <w:r>
        <w:rPr>
          <w:rStyle w:val="FunctionTok"/>
        </w:rPr>
        <w:t xml:space="preserve">assemble_centroid_trends_page</w:t>
      </w:r>
      <w:r>
        <w:rPr>
          <w:rStyle w:val="NormalTok"/>
        </w:rPr>
        <w:t xml:space="preserve">(alpha_code)</w:t>
      </w:r>
    </w:p>
    <w:bookmarkEnd w:id="69"/>
    <w:bookmarkEnd w:id="70"/>
    <w:bookmarkStart w:id="72" w:name="genai-analysis"/>
    <w:p>
      <w:pPr>
        <w:pStyle w:val="Heading1"/>
      </w:pPr>
      <w:r>
        <w:t xml:space="preserve">10. GenAI Analysis</w:t>
      </w:r>
    </w:p>
    <w:bookmarkStart w:id="71" w:name="suitability-trend-analysis-1"/>
    <w:p>
      <w:pPr>
        <w:pStyle w:val="Heading2"/>
      </w:pPr>
      <w:r>
        <w:t xml:space="preserve">10.1 Suitability trend analysis</w:t>
      </w:r>
    </w:p>
    <w:p>
      <w:pPr>
        <w:pStyle w:val="FirstParagraph"/>
      </w:pPr>
      <w:r>
        <w:t xml:space="preserve">This experimental module uses generative AI (GenAI) to support suitability trend analysis. In the first step, the function assembles an AI-ready package containing suitability trend rasters, summary tables, species metadata, and a structured prompt. In the second step, the package is submitted to ChatGPT (GPT-5.1) for analysis. Finally, the generated results are compiled into a PDF document.</w:t>
      </w:r>
    </w:p>
    <w:p>
      <w:pPr>
        <w:pStyle w:val="SourceCode"/>
      </w:pPr>
      <w:r>
        <w:rPr>
          <w:rStyle w:val="CommentTok"/>
        </w:rPr>
        <w:t xml:space="preserve"># build a data package for submission to ChatGPT</w:t>
      </w:r>
      <w:r>
        <w:br/>
      </w:r>
      <w:r>
        <w:rPr>
          <w:rStyle w:val="NormalTok"/>
        </w:rPr>
        <w:t xml:space="preserve">rENM.ai</w:t>
      </w:r>
      <w:r>
        <w:rPr>
          <w:rStyle w:val="SpecialCharTok"/>
        </w:rPr>
        <w:t xml:space="preserve">::</w:t>
      </w:r>
      <w:r>
        <w:rPr>
          <w:rStyle w:val="FunctionTok"/>
        </w:rPr>
        <w:t xml:space="preserve">assemble_ai_package</w:t>
      </w:r>
      <w:r>
        <w:rPr>
          <w:rStyle w:val="NormalTok"/>
        </w:rPr>
        <w:t xml:space="preserve">(alpha_code)</w:t>
      </w:r>
      <w:r>
        <w:br/>
      </w:r>
      <w:r>
        <w:br/>
      </w:r>
      <w:r>
        <w:rPr>
          <w:rStyle w:val="CommentTok"/>
        </w:rPr>
        <w:t xml:space="preserve"># submit the package using the OpenAI Reponses API</w:t>
      </w:r>
      <w:r>
        <w:br/>
      </w:r>
      <w:r>
        <w:rPr>
          <w:rStyle w:val="NormalTok"/>
        </w:rPr>
        <w:t xml:space="preserve">rENM.ai</w:t>
      </w:r>
      <w:r>
        <w:rPr>
          <w:rStyle w:val="SpecialCharTok"/>
        </w:rPr>
        <w:t xml:space="preserve">::</w:t>
      </w:r>
      <w:r>
        <w:rPr>
          <w:rStyle w:val="FunctionTok"/>
        </w:rPr>
        <w:t xml:space="preserve">submit_ai_package</w:t>
      </w:r>
      <w:r>
        <w:rPr>
          <w:rStyle w:val="NormalTok"/>
        </w:rPr>
        <w:t xml:space="preserve">(alpha_code)</w:t>
      </w:r>
      <w:r>
        <w:br/>
      </w:r>
      <w:r>
        <w:br/>
      </w:r>
      <w:r>
        <w:rPr>
          <w:rStyle w:val="CommentTok"/>
        </w:rPr>
        <w:t xml:space="preserve"># render the returned .docx file into a .pdf file</w:t>
      </w:r>
      <w:r>
        <w:br/>
      </w:r>
      <w:r>
        <w:rPr>
          <w:rStyle w:val="NormalTok"/>
        </w:rPr>
        <w:t xml:space="preserve">rENM.ai</w:t>
      </w:r>
      <w:r>
        <w:rPr>
          <w:rStyle w:val="SpecialCharTok"/>
        </w:rPr>
        <w:t xml:space="preserve">::</w:t>
      </w:r>
      <w:r>
        <w:rPr>
          <w:rStyle w:val="FunctionTok"/>
        </w:rPr>
        <w:t xml:space="preserve">render_ai_docx</w:t>
      </w:r>
      <w:r>
        <w:rPr>
          <w:rStyle w:val="NormalTok"/>
        </w:rPr>
        <w:t xml:space="preserve">(alpha_code)</w:t>
      </w:r>
    </w:p>
    <w:bookmarkEnd w:id="71"/>
    <w:bookmarkEnd w:id="72"/>
    <w:bookmarkStart w:id="73" w:name="create-final-report"/>
    <w:p>
      <w:pPr>
        <w:pStyle w:val="Heading1"/>
      </w:pPr>
      <w:r>
        <w:t xml:space="preserve">11. Create Final Report</w:t>
      </w:r>
    </w:p>
    <w:p>
      <w:pPr>
        <w:pStyle w:val="SourceCode"/>
      </w:pPr>
      <w:r>
        <w:rPr>
          <w:rStyle w:val="CommentTok"/>
        </w:rPr>
        <w:t xml:space="preserve"># create a final report comprising all summary pages</w:t>
      </w:r>
      <w:r>
        <w:br/>
      </w:r>
      <w:r>
        <w:rPr>
          <w:rStyle w:val="NormalTok"/>
        </w:rPr>
        <w:t xml:space="preserve">rENM.reports</w:t>
      </w:r>
      <w:r>
        <w:rPr>
          <w:rStyle w:val="SpecialCharTok"/>
        </w:rPr>
        <w:t xml:space="preserve">::</w:t>
      </w:r>
      <w:r>
        <w:rPr>
          <w:rStyle w:val="FunctionTok"/>
        </w:rPr>
        <w:t xml:space="preserve">assemble_final_report</w:t>
      </w:r>
      <w:r>
        <w:rPr>
          <w:rStyle w:val="NormalTok"/>
        </w:rPr>
        <w:t xml:space="preserve">(alpha_code)</w:t>
      </w:r>
      <w:r>
        <w:br/>
      </w:r>
      <w:r>
        <w:br/>
      </w:r>
      <w:r>
        <w:rPr>
          <w:rStyle w:val="CommentTok"/>
        </w:rPr>
        <w:t xml:space="preserve"># these are the default pages, edit as needed ...</w:t>
      </w:r>
      <w:r>
        <w:br/>
      </w:r>
      <w:r>
        <w:rPr>
          <w:rStyle w:val="CommentTok"/>
        </w:rPr>
        <w:t xml:space="preserve"># rENM.reports::assemble_final_report(alpha_code, </w:t>
      </w:r>
      <w:r>
        <w:br/>
      </w:r>
      <w:r>
        <w:rPr>
          <w:rStyle w:val="CommentTok"/>
        </w:rPr>
        <w:t xml:space="preserve">#                                     pages = c("Suitability-Trend-Analysis",</w:t>
      </w:r>
      <w:r>
        <w:br/>
      </w:r>
      <w:r>
        <w:rPr>
          <w:rStyle w:val="CommentTok"/>
        </w:rPr>
        <w:t xml:space="preserve">#                                               "Suitability-Trends",</w:t>
      </w:r>
      <w:r>
        <w:br/>
      </w:r>
      <w:r>
        <w:rPr>
          <w:rStyle w:val="CommentTok"/>
        </w:rPr>
        <w:t xml:space="preserve">#                                               "State-Trends",</w:t>
      </w:r>
      <w:r>
        <w:br/>
      </w:r>
      <w:r>
        <w:rPr>
          <w:rStyle w:val="CommentTok"/>
        </w:rPr>
        <w:t xml:space="preserve">#                                               "Centroid-Trends",</w:t>
      </w:r>
      <w:r>
        <w:br/>
      </w:r>
      <w:r>
        <w:rPr>
          <w:rStyle w:val="CommentTok"/>
        </w:rPr>
        <w:t xml:space="preserve">#                                               "Suitability-TimeSeries",</w:t>
      </w:r>
      <w:r>
        <w:br/>
      </w:r>
      <w:r>
        <w:rPr>
          <w:rStyle w:val="CommentTok"/>
        </w:rPr>
        <w:t xml:space="preserve">#                                               "Range-TimeSeries",</w:t>
      </w:r>
      <w:r>
        <w:br/>
      </w:r>
      <w:r>
        <w:rPr>
          <w:rStyle w:val="CommentTok"/>
        </w:rPr>
        <w:t xml:space="preserve">#                                               "Variable-Trends",</w:t>
      </w:r>
      <w:r>
        <w:br/>
      </w:r>
      <w:r>
        <w:rPr>
          <w:rStyle w:val="CommentTok"/>
        </w:rPr>
        <w:t xml:space="preserve">#                                               "Variable-Trend-Maps1",</w:t>
      </w:r>
      <w:r>
        <w:br/>
      </w:r>
      <w:r>
        <w:rPr>
          <w:rStyle w:val="CommentTok"/>
        </w:rPr>
        <w:t xml:space="preserve">#                                               "Variable-Trend-Maps2"))</w:t>
      </w:r>
    </w:p>
    <w:bookmarkEnd w:id="73"/>
    <w:bookmarkStart w:id="74" w:name="automated-workflows"/>
    <w:p>
      <w:pPr>
        <w:pStyle w:val="Heading1"/>
      </w:pPr>
      <w:r>
        <w:t xml:space="preserve">12. Automated Workflows</w:t>
      </w:r>
    </w:p>
    <w:bookmarkEnd w:id="74"/>
    <w:bookmarkStart w:id="79" w:name="appendices"/>
    <w:p>
      <w:pPr>
        <w:pStyle w:val="Heading1"/>
      </w:pPr>
      <w:r>
        <w:t xml:space="preserve">13. APPENDICES</w:t>
      </w:r>
    </w:p>
    <w:bookmarkStart w:id="75" w:name="technical-specifications"/>
    <w:p>
      <w:pPr>
        <w:pStyle w:val="Heading2"/>
      </w:pPr>
      <w:r>
        <w:t xml:space="preserve">13.1 Technical specifications</w:t>
      </w:r>
    </w:p>
    <w:bookmarkEnd w:id="75"/>
    <w:bookmarkStart w:id="78" w:name="data-extensions"/>
    <w:p>
      <w:pPr>
        <w:pStyle w:val="Heading2"/>
      </w:pPr>
      <w:r>
        <w:t xml:space="preserve">13.2 Data extensions</w:t>
      </w:r>
    </w:p>
    <w:bookmarkStart w:id="76" w:name="adding-new-species"/>
    <w:p>
      <w:pPr>
        <w:pStyle w:val="Heading3"/>
      </w:pPr>
      <w:r>
        <w:t xml:space="preserve">- Adding new species</w:t>
      </w:r>
    </w:p>
    <w:bookmarkEnd w:id="76"/>
    <w:bookmarkStart w:id="77" w:name="adding-new-variables"/>
    <w:p>
      <w:pPr>
        <w:pStyle w:val="Heading3"/>
      </w:pPr>
      <w:r>
        <w:t xml:space="preserve">- Adding new variables</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10" Target="https://doi.org/10.1371/journal.pone.0237208" TargetMode="External" /><Relationship Type="http://schemas.openxmlformats.org/officeDocument/2006/relationships/hyperlink" Id="rId11" Target="https://doi.org/10.1371/journal.pone.0257502" TargetMode="External" /><Relationship Type="http://schemas.openxmlformats.org/officeDocument/2006/relationships/hyperlink" Id="rId15" Target="https://doi.org/10.1894/0038-4909-70.1.7" TargetMode="External" /><Relationship Type="http://schemas.openxmlformats.org/officeDocument/2006/relationships/hyperlink" Id="rId12" Target="https://doi.org/10.2760/46796." TargetMode="External" /><Relationship Type="http://schemas.openxmlformats.org/officeDocument/2006/relationships/hyperlink" Id="rId13" Target="https://doi.org/10.5751/JFO-00432-950109" TargetMode="External" /><Relationship Type="http://schemas.openxmlformats.org/officeDocument/2006/relationships/hyperlink" Id="rId14" Target="https://doi.org/10.5751/JFO-00691-960303" TargetMode="External" /><Relationship Type="http://schemas.openxmlformats.org/officeDocument/2006/relationships/hyperlink" Id="rId9" Target="https://github.com/rENM-Framework" TargetMode="External" /><Relationship Type="http://schemas.openxmlformats.org/officeDocument/2006/relationships/hyperlink" Id="rId21" Target="https://github.com/rENM-Framework/rENM-scripts" TargetMode="External" /></Relationships>
</file>

<file path=word/_rels/footnotes.xml.rels><?xml version="1.0" encoding="UTF-8"?><Relationships xmlns="http://schemas.openxmlformats.org/package/2006/relationships"><Relationship Type="http://schemas.openxmlformats.org/officeDocument/2006/relationships/hyperlink" Id="rId10" Target="https://doi.org/10.1371/journal.pone.0237208" TargetMode="External" /><Relationship Type="http://schemas.openxmlformats.org/officeDocument/2006/relationships/hyperlink" Id="rId11" Target="https://doi.org/10.1371/journal.pone.0257502" TargetMode="External" /><Relationship Type="http://schemas.openxmlformats.org/officeDocument/2006/relationships/hyperlink" Id="rId15" Target="https://doi.org/10.1894/0038-4909-70.1.7" TargetMode="External" /><Relationship Type="http://schemas.openxmlformats.org/officeDocument/2006/relationships/hyperlink" Id="rId12" Target="https://doi.org/10.2760/46796." TargetMode="External" /><Relationship Type="http://schemas.openxmlformats.org/officeDocument/2006/relationships/hyperlink" Id="rId13" Target="https://doi.org/10.5751/JFO-00432-950109" TargetMode="External" /><Relationship Type="http://schemas.openxmlformats.org/officeDocument/2006/relationships/hyperlink" Id="rId14" Target="https://doi.org/10.5751/JFO-00691-960303" TargetMode="External" /><Relationship Type="http://schemas.openxmlformats.org/officeDocument/2006/relationships/hyperlink" Id="rId9" Target="https://github.com/rENM-Framework" TargetMode="External" /><Relationship Type="http://schemas.openxmlformats.org/officeDocument/2006/relationships/hyperlink" Id="rId21" Target="https://github.com/rENM-Framework/rENM-scrip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rENM Framework User Manual</dc:title>
  <dc:creator>John L. Schnase</dc:creator>
  <cp:keywords/>
  <dcterms:created xsi:type="dcterms:W3CDTF">2026-04-27T17:56:47Z</dcterms:created>
  <dcterms:modified xsi:type="dcterms:W3CDTF">2026-04-27T17:56:47Z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2026-04-27</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2</vt:lpwstr>
  </property>
  <property fmtid="{D5CDD505-2E9C-101B-9397-08002B2CF9AE}" pid="13" name="toc-title">
    <vt:lpwstr>Table of contents</vt:lpwstr>
  </property>
  <property fmtid="{D5CDD505-2E9C-101B-9397-08002B2CF9AE}" pid="14" name="version">
    <vt:lpwstr>0.1.0</vt:lpwstr>
  </property>
</Properties>
</file>