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27" w:type="dxa"/>
        <w:jc w:val="center"/>
        <w:tblLook w:val="04A0" w:firstRow="1" w:lastRow="0" w:firstColumn="1" w:lastColumn="0" w:noHBand="0" w:noVBand="1"/>
      </w:tblPr>
      <w:tblGrid>
        <w:gridCol w:w="1611"/>
        <w:gridCol w:w="5816"/>
      </w:tblGrid>
      <w:tr w:rsidR="00290E91" w:rsidRPr="00E2612A" w14:paraId="1F9DDF63" w14:textId="77777777" w:rsidTr="00290E91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953D1A0" w14:textId="31627DB3" w:rsidR="00290E91" w:rsidRPr="001A1140" w:rsidRDefault="00290E91" w:rsidP="001A1140">
            <w:pPr>
              <w:spacing w:after="6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</w:pPr>
            <w:r w:rsidRPr="001A11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MERRA-2</w:t>
            </w:r>
            <w:r w:rsidRPr="001A11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1A11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and MERRAclim-2</w:t>
            </w:r>
            <w:r w:rsidRPr="001A11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1A1140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variables available in the rENM Framework.</w:t>
            </w:r>
          </w:p>
        </w:tc>
      </w:tr>
      <w:tr w:rsidR="00E2612A" w:rsidRPr="00E2612A" w14:paraId="59A68D56" w14:textId="77777777" w:rsidTr="00290E91">
        <w:trPr>
          <w:trHeight w:val="144"/>
          <w:jc w:val="center"/>
        </w:trPr>
        <w:tc>
          <w:tcPr>
            <w:tcW w:w="742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8C040" w14:textId="77777777" w:rsidR="00290E91" w:rsidRDefault="00290E91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4A4BD13A" w14:textId="49A17315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MERRA-2 (M2) Variables</w:t>
            </w:r>
          </w:p>
        </w:tc>
      </w:tr>
      <w:tr w:rsidR="00E2612A" w:rsidRPr="00E2612A" w14:paraId="1468352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9125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albedo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1048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albedo </w:t>
            </w:r>
          </w:p>
        </w:tc>
      </w:tr>
      <w:tr w:rsidR="00E2612A" w:rsidRPr="00E2612A" w14:paraId="27BDBA2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B8E7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cldtot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4D2F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cloud area fraction</w:t>
            </w:r>
          </w:p>
        </w:tc>
      </w:tr>
      <w:tr w:rsidR="00E2612A" w:rsidRPr="00E2612A" w14:paraId="51EAA96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C1A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echange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28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land energy change per unit time (W/m2)</w:t>
            </w:r>
          </w:p>
        </w:tc>
      </w:tr>
      <w:tr w:rsidR="00E2612A" w:rsidRPr="00E2612A" w14:paraId="020DA4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2142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eflux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C3BC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latent heat flux (W/m2)</w:t>
            </w:r>
          </w:p>
        </w:tc>
      </w:tr>
      <w:tr w:rsidR="00E2612A" w:rsidRPr="00E2612A" w14:paraId="5EB247D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946A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evland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8466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Evaporation from land ((kg/m2)/s)</w:t>
            </w:r>
          </w:p>
        </w:tc>
      </w:tr>
      <w:tr w:rsidR="00E2612A" w:rsidRPr="00E2612A" w14:paraId="078C074F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7BF70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evpintr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17A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Interception loss energy flux (W/m2)</w:t>
            </w:r>
          </w:p>
        </w:tc>
      </w:tr>
      <w:tr w:rsidR="00E2612A" w:rsidRPr="00E2612A" w14:paraId="0B1A880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1079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evpsoil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DE86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Bare soil evaporation energy flux (W/m2)</w:t>
            </w:r>
          </w:p>
        </w:tc>
      </w:tr>
      <w:tr w:rsidR="00E2612A" w:rsidRPr="00E2612A" w14:paraId="45324D9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018C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evptrns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36DA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Transpiration energy flux (W/m2)</w:t>
            </w:r>
          </w:p>
        </w:tc>
      </w:tr>
      <w:tr w:rsidR="00E2612A" w:rsidRPr="00E2612A" w14:paraId="508D945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7CDA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frwlt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A8A0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Fractional wilting area</w:t>
            </w:r>
          </w:p>
        </w:tc>
      </w:tr>
      <w:tr w:rsidR="00E2612A" w:rsidRPr="00E2612A" w14:paraId="6B84AB6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FD1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ghland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8C32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Downward heat flux into topsoil layer (W/m2)</w:t>
            </w:r>
          </w:p>
        </w:tc>
      </w:tr>
      <w:tr w:rsidR="00E2612A" w:rsidRPr="00E2612A" w14:paraId="26DCCA9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16E2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grn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AD9A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Vegetation greenness fraction (LAI-weighted)</w:t>
            </w:r>
          </w:p>
        </w:tc>
      </w:tr>
      <w:tr w:rsidR="00E2612A" w:rsidRPr="00E2612A" w14:paraId="5734601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3C98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gwetprof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8453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Average profile soil wetness</w:t>
            </w:r>
          </w:p>
        </w:tc>
      </w:tr>
      <w:tr w:rsidR="00E2612A" w:rsidRPr="00E2612A" w14:paraId="492B4D58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8328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gwetroot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6E71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wetness</w:t>
            </w:r>
          </w:p>
        </w:tc>
      </w:tr>
      <w:tr w:rsidR="00E2612A" w:rsidRPr="00E2612A" w14:paraId="700196B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2FE7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hflux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8D86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Positive sensible heat flux (W/m2)</w:t>
            </w:r>
          </w:p>
        </w:tc>
      </w:tr>
      <w:tr w:rsidR="00E2612A" w:rsidRPr="00E2612A" w14:paraId="3AFC6A1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0D5E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lai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A174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Leaf area index</w:t>
            </w:r>
          </w:p>
        </w:tc>
      </w:tr>
      <w:tr w:rsidR="00E2612A" w:rsidRPr="00E2612A" w14:paraId="6579205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DF58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lwgnt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01BD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longwave flux (W/m2)</w:t>
            </w:r>
          </w:p>
        </w:tc>
      </w:tr>
      <w:tr w:rsidR="00E2612A" w:rsidRPr="00E2612A" w14:paraId="4F03052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A53A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prectotcorr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7909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Total observation-corrected surface precipitation ((kg/m2)/s) </w:t>
            </w:r>
          </w:p>
        </w:tc>
      </w:tr>
      <w:tr w:rsidR="00E2612A" w:rsidRPr="00E2612A" w14:paraId="04D09F3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8FB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prevtot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3BF5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re-evaporation/sublimation of precipitation ((kg/m2)/s)</w:t>
            </w:r>
          </w:p>
        </w:tc>
      </w:tr>
      <w:tr w:rsidR="00E2612A" w:rsidRPr="00E2612A" w14:paraId="517CEC1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99BD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prmc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C2ED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Total profile soil moisture content (m3/m3)</w:t>
            </w:r>
          </w:p>
        </w:tc>
      </w:tr>
      <w:tr w:rsidR="00E2612A" w:rsidRPr="00E2612A" w14:paraId="09AE006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A9C0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qinfil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098A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Soil water infiltration rate ((km/m2)/s))</w:t>
            </w:r>
          </w:p>
        </w:tc>
      </w:tr>
      <w:tr w:rsidR="00E2612A" w:rsidRPr="00E2612A" w14:paraId="6C77E9B3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94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qv2m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CF88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specific humidity (kg/kg)</w:t>
            </w:r>
          </w:p>
        </w:tc>
      </w:tr>
      <w:tr w:rsidR="00E2612A" w:rsidRPr="00E2612A" w14:paraId="1D0D2AF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D65D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rzmc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A00C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Root zone soil moisture content (m3/m3)</w:t>
            </w:r>
          </w:p>
        </w:tc>
      </w:tr>
      <w:tr w:rsidR="00E2612A" w:rsidRPr="00E2612A" w14:paraId="159B8F8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6EB1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5167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Surface wind speed (m/s) </w:t>
            </w:r>
          </w:p>
        </w:tc>
      </w:tr>
      <w:tr w:rsidR="00E2612A" w:rsidRPr="00E2612A" w14:paraId="4BD03D1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ED02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swgnt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E4C115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net downward shortwave flux (W/m2)</w:t>
            </w:r>
          </w:p>
        </w:tc>
      </w:tr>
      <w:tr w:rsidR="00E2612A" w:rsidRPr="00E2612A" w14:paraId="190FD22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3610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t2m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D6D8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2-meter air temperature (K)</w:t>
            </w:r>
          </w:p>
        </w:tc>
      </w:tr>
      <w:tr w:rsidR="00E2612A" w:rsidRPr="00E2612A" w14:paraId="27283D0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DCA4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tautot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5004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Optical thickness of all clouds</w:t>
            </w:r>
          </w:p>
        </w:tc>
      </w:tr>
      <w:tr w:rsidR="00E2612A" w:rsidRPr="00E2612A" w14:paraId="45AE30FB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AB10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53D5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skin temperature (K)</w:t>
            </w:r>
          </w:p>
        </w:tc>
      </w:tr>
      <w:tr w:rsidR="00E2612A" w:rsidRPr="00E2612A" w14:paraId="5225E7EC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9DDE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tsat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1F2A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Surface temperature of saturated zone (K)</w:t>
            </w:r>
          </w:p>
        </w:tc>
      </w:tr>
      <w:tr w:rsidR="00E2612A" w:rsidRPr="00E2612A" w14:paraId="4AD75AF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F35F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tsurf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6B19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land surface temperature (K)</w:t>
            </w:r>
          </w:p>
        </w:tc>
      </w:tr>
      <w:tr w:rsidR="00E2612A" w:rsidRPr="00E2612A" w14:paraId="1E929BD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9E4F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wchange</w:t>
            </w:r>
            <w:proofErr w:type="spellEnd"/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2924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Total land water </w:t>
            </w:r>
            <w:proofErr w:type="gramStart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change</w:t>
            </w:r>
            <w:proofErr w:type="gramEnd"/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per unit time ((kg/m2)/s)</w:t>
            </w:r>
          </w:p>
        </w:tc>
      </w:tr>
      <w:tr w:rsidR="00E2612A" w:rsidRPr="00E2612A" w14:paraId="3A0B1746" w14:textId="77777777" w:rsidTr="00E2612A">
        <w:trPr>
          <w:trHeight w:val="144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A9045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</w:p>
          <w:p w14:paraId="1751D954" w14:textId="750B237A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MERRA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clim</w:t>
            </w: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-2 (M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C</w:t>
            </w:r>
            <w:r w:rsidRPr="00E2612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) Variables</w:t>
            </w:r>
          </w:p>
        </w:tc>
      </w:tr>
      <w:tr w:rsidR="00E2612A" w:rsidRPr="00E2612A" w14:paraId="4603089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240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25538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mean temperature (C)</w:t>
            </w:r>
          </w:p>
        </w:tc>
      </w:tr>
      <w:tr w:rsidR="00E2612A" w:rsidRPr="00E2612A" w14:paraId="18AEE10D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D3D7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B789C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diurnal temperature range (C)</w:t>
            </w:r>
          </w:p>
        </w:tc>
      </w:tr>
      <w:tr w:rsidR="00E2612A" w:rsidRPr="00E2612A" w14:paraId="0BDB778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C64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BCB8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Isothermality [(MC_Bio02/MC_Bio07)*100] (%)</w:t>
            </w:r>
          </w:p>
        </w:tc>
      </w:tr>
      <w:tr w:rsidR="00E2612A" w:rsidRPr="00E2612A" w14:paraId="27B8A50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416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5C022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seasonality [(Standard deviation*100)] (C)</w:t>
            </w:r>
          </w:p>
        </w:tc>
      </w:tr>
      <w:tr w:rsidR="00E2612A" w:rsidRPr="00E2612A" w14:paraId="4DEADAF2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EEA3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CD596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Maximum temperature of the warmest month (C)</w:t>
            </w:r>
          </w:p>
        </w:tc>
      </w:tr>
      <w:tr w:rsidR="00E2612A" w:rsidRPr="00E2612A" w14:paraId="1067DDF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4E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E329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Minimum temperature of the coldest month (C) </w:t>
            </w:r>
          </w:p>
        </w:tc>
      </w:tr>
      <w:tr w:rsidR="00E2612A" w:rsidRPr="00E2612A" w14:paraId="7D9A47E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A2F9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12AF8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Temperature annual range (MC_Bio05-MC_Bio06) (C)</w:t>
            </w:r>
          </w:p>
        </w:tc>
      </w:tr>
      <w:tr w:rsidR="00E2612A" w:rsidRPr="00E2612A" w14:paraId="7E907689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C4702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EA9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wettest quarter (C)</w:t>
            </w:r>
          </w:p>
        </w:tc>
      </w:tr>
      <w:tr w:rsidR="00E2612A" w:rsidRPr="00E2612A" w14:paraId="11FF707A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06F6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F02E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Mean temperature of the driest quarter (C) </w:t>
            </w:r>
          </w:p>
        </w:tc>
      </w:tr>
      <w:tr w:rsidR="00E2612A" w:rsidRPr="00E2612A" w14:paraId="75E3766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AA4E9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bio10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525A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warmest quarter (C)</w:t>
            </w:r>
          </w:p>
        </w:tc>
      </w:tr>
      <w:tr w:rsidR="00E2612A" w:rsidRPr="00E2612A" w14:paraId="15B3EBA0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2205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bio11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06C9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Mean temperature of the coldest quarter (C)</w:t>
            </w:r>
          </w:p>
        </w:tc>
      </w:tr>
      <w:tr w:rsidR="00E2612A" w:rsidRPr="00E2612A" w14:paraId="6C2B911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3272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bio12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E0D3D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Annual precipitation (mm)</w:t>
            </w:r>
          </w:p>
        </w:tc>
      </w:tr>
      <w:tr w:rsidR="00E2612A" w:rsidRPr="00E2612A" w14:paraId="08643C75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69B26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bio13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D5F0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Precipitation of the wettest month (mm)</w:t>
            </w:r>
          </w:p>
        </w:tc>
      </w:tr>
      <w:tr w:rsidR="00E2612A" w:rsidRPr="00E2612A" w14:paraId="68F765B4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019F7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bio14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0DAD1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month (mm) </w:t>
            </w:r>
          </w:p>
        </w:tc>
      </w:tr>
      <w:tr w:rsidR="00E2612A" w:rsidRPr="00E2612A" w14:paraId="7A6865F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5AC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bio15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AB82D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seasonality (Coefficient of variation) (%) </w:t>
            </w:r>
          </w:p>
        </w:tc>
      </w:tr>
      <w:tr w:rsidR="00E2612A" w:rsidRPr="00E2612A" w14:paraId="48E250F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DC4B3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bio16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FD16F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wettest quarter (mm) </w:t>
            </w:r>
          </w:p>
        </w:tc>
      </w:tr>
      <w:tr w:rsidR="00E2612A" w:rsidRPr="00E2612A" w14:paraId="2116E7EE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8CBB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bio17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B862A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driest quarter (mm) </w:t>
            </w:r>
          </w:p>
        </w:tc>
      </w:tr>
      <w:tr w:rsidR="00E2612A" w:rsidRPr="00E2612A" w14:paraId="0F04FB76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C53CE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bio18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B7BE1B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warmest quarter (mm) </w:t>
            </w:r>
          </w:p>
        </w:tc>
      </w:tr>
      <w:tr w:rsidR="00E2612A" w:rsidRPr="00E2612A" w14:paraId="3317A0A1" w14:textId="77777777" w:rsidTr="00E2612A">
        <w:trPr>
          <w:trHeight w:val="144"/>
          <w:jc w:val="center"/>
        </w:trPr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F95B0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bio19</w:t>
            </w:r>
          </w:p>
        </w:tc>
        <w:tc>
          <w:tcPr>
            <w:tcW w:w="58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8E6724" w14:textId="77777777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Precipitation of the coldest quarter (mm) </w:t>
            </w:r>
          </w:p>
        </w:tc>
      </w:tr>
      <w:tr w:rsidR="00E2612A" w:rsidRPr="00E2612A" w14:paraId="770ED019" w14:textId="77777777" w:rsidTr="00E2612A">
        <w:trPr>
          <w:trHeight w:val="459"/>
          <w:jc w:val="center"/>
        </w:trPr>
        <w:tc>
          <w:tcPr>
            <w:tcW w:w="742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4A1B87" w14:textId="634FB299" w:rsidR="00E2612A" w:rsidRPr="00E2612A" w:rsidRDefault="00E2612A" w:rsidP="00E2612A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</w:pPr>
            <w:r w:rsidRPr="00E2612A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See </w:t>
            </w:r>
            <w:hyperlink r:id="rId4" w:history="1">
              <w:r w:rsidRPr="00E2612A">
                <w:rPr>
                  <w:rStyle w:val="Hyperlink"/>
                  <w:rFonts w:ascii="Times New Roman" w:eastAsia="Times New Roman" w:hAnsi="Times New Roman" w:cs="Times New Roman"/>
                  <w:i/>
                  <w:iCs/>
                  <w:kern w:val="0"/>
                  <w:sz w:val="20"/>
                  <w:szCs w:val="20"/>
                  <w14:ligatures w14:val="none"/>
                </w:rPr>
                <w:t>h</w:t>
              </w:r>
              <w:r w:rsidRPr="00E2612A">
                <w:rPr>
                  <w:rStyle w:val="Hyperlink"/>
                  <w:rFonts w:ascii="Times New Roman" w:eastAsia="Times New Roman" w:hAnsi="Times New Roman" w:cs="Times New Roman"/>
                  <w:i/>
                  <w:iCs/>
                  <w:kern w:val="0"/>
                  <w:sz w:val="20"/>
                  <w:szCs w:val="20"/>
                  <w14:ligatures w14:val="none"/>
                </w:rPr>
                <w:t>t</w:t>
              </w:r>
              <w:r w:rsidRPr="00E2612A">
                <w:rPr>
                  <w:rStyle w:val="Hyperlink"/>
                  <w:rFonts w:ascii="Times New Roman" w:eastAsia="Times New Roman" w:hAnsi="Times New Roman" w:cs="Times New Roman"/>
                  <w:i/>
                  <w:iCs/>
                  <w:kern w:val="0"/>
                  <w:sz w:val="20"/>
                  <w:szCs w:val="20"/>
                  <w14:ligatures w14:val="none"/>
                </w:rPr>
                <w:t>tps://doi.org/10.5751/JFO-00432-950109</w:t>
              </w:r>
            </w:hyperlink>
            <w:r w:rsidRPr="00E2612A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14:ligatures w14:val="none"/>
              </w:rPr>
              <w:t xml:space="preserve"> for complete descriptions.</w:t>
            </w:r>
          </w:p>
        </w:tc>
      </w:tr>
    </w:tbl>
    <w:p w14:paraId="13046B07" w14:textId="77777777" w:rsidR="002665F9" w:rsidRPr="00E2612A" w:rsidRDefault="002665F9" w:rsidP="00290E91">
      <w:pPr>
        <w:spacing w:line="240" w:lineRule="auto"/>
        <w:rPr>
          <w:rFonts w:ascii="Times New Roman" w:hAnsi="Times New Roman" w:cs="Times New Roman"/>
          <w:sz w:val="13"/>
          <w:szCs w:val="13"/>
        </w:rPr>
      </w:pPr>
    </w:p>
    <w:sectPr w:rsidR="002665F9" w:rsidRPr="00E261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12A"/>
    <w:rsid w:val="001A1140"/>
    <w:rsid w:val="002665F9"/>
    <w:rsid w:val="00290E91"/>
    <w:rsid w:val="00351133"/>
    <w:rsid w:val="005707A6"/>
    <w:rsid w:val="005F6BAD"/>
    <w:rsid w:val="00750F3C"/>
    <w:rsid w:val="008C76F0"/>
    <w:rsid w:val="00B35F65"/>
    <w:rsid w:val="00C84FA0"/>
    <w:rsid w:val="00E2612A"/>
    <w:rsid w:val="00F14821"/>
    <w:rsid w:val="00F637D1"/>
    <w:rsid w:val="00FE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03023"/>
  <w15:chartTrackingRefBased/>
  <w15:docId w15:val="{F662144C-735B-7C4A-A2A7-A7B903C4A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1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1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1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1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1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1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1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1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1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lsFigure">
    <w:name w:val="jlsFigure"/>
    <w:basedOn w:val="Normal"/>
    <w:rsid w:val="00F637D1"/>
    <w:pPr>
      <w:adjustRightInd w:val="0"/>
      <w:snapToGrid w:val="0"/>
      <w:spacing w:after="0" w:line="240" w:lineRule="auto"/>
    </w:pPr>
    <w:rPr>
      <w:rFonts w:ascii="Times New Roman" w:eastAsia="MS Mincho" w:hAnsi="Times New Roman" w:cs="Times New Roman"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E261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1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1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1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1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1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1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1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1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1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1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12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61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61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0E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751/JFO-00432-9501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374</Words>
  <Characters>2136</Characters>
  <Application>Microsoft Office Word</Application>
  <DocSecurity>0</DocSecurity>
  <Lines>17</Lines>
  <Paragraphs>5</Paragraphs>
  <ScaleCrop>false</ScaleCrop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Schnase</dc:creator>
  <cp:keywords/>
  <dc:description/>
  <cp:lastModifiedBy>John Schnase</cp:lastModifiedBy>
  <cp:revision>3</cp:revision>
  <cp:lastPrinted>2026-06-16T15:29:00Z</cp:lastPrinted>
  <dcterms:created xsi:type="dcterms:W3CDTF">2026-06-16T15:29:00Z</dcterms:created>
  <dcterms:modified xsi:type="dcterms:W3CDTF">2026-06-16T15:29:00Z</dcterms:modified>
</cp:coreProperties>
</file>