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21B2A" w14:textId="6E9314B1"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PREDICTOR VARIABLE TRENDS. The following pages show how the top contributing MERRA-2 and MERRAclim-2</w:t>
      </w:r>
      <w:r w:rsidR="005403C9">
        <w:rPr>
          <w:rFonts w:ascii="Calibri" w:hAnsi="Calibri" w:cs="Calibri"/>
          <w:sz w:val="20"/>
          <w:szCs w:val="20"/>
        </w:rPr>
        <w:t xml:space="preserve"> </w:t>
      </w:r>
      <w:r w:rsidRPr="000401C5">
        <w:rPr>
          <w:rFonts w:ascii="Calibri" w:hAnsi="Calibri" w:cs="Calibri"/>
          <w:sz w:val="20"/>
          <w:szCs w:val="20"/>
        </w:rPr>
        <w:t>environmental predictor variables have changed across the landscape over the study period. Variables are those identified by the convergence-based screening procedure as the strongest contributors to the ensemble models; they are arranged in descending order of average contribution to the overall time series.</w:t>
      </w:r>
    </w:p>
    <w:p w14:paraId="66A8D047"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Each variable occupies one row. The left panel shows the per-cell Theil-Sen trend over the study period. The right panel shows the trend in the rate of change over the same period, identifying areas where the variable is increasing or decreasing at an accelerating or decelerating rate. In both panels, green indicates increasing values and red indicates decreasing values.</w:t>
      </w:r>
    </w:p>
    <w:p w14:paraId="754B3292"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A blue sidebar marks variables whose relative contribution to the ensemble models showed a strong directional trend across the study period (Bayesian probability of direction PD ≥ 90%). See the Variable Contribution Trends figure and table for details.</w:t>
      </w:r>
    </w:p>
    <w:p w14:paraId="0040C489" w14:textId="77777777" w:rsidR="00C221D7" w:rsidRPr="000401C5" w:rsidRDefault="00C221D7" w:rsidP="00A03474">
      <w:pPr>
        <w:pStyle w:val="PlainText"/>
        <w:ind w:left="720" w:right="957"/>
        <w:rPr>
          <w:rFonts w:ascii="Calibri" w:hAnsi="Calibri" w:cs="Calibri"/>
          <w:sz w:val="20"/>
          <w:szCs w:val="20"/>
        </w:rPr>
      </w:pPr>
    </w:p>
    <w:sectPr w:rsidR="00C221D7" w:rsidRPr="000401C5"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401C5"/>
    <w:rsid w:val="0009051E"/>
    <w:rsid w:val="000F151C"/>
    <w:rsid w:val="002665F9"/>
    <w:rsid w:val="003718E2"/>
    <w:rsid w:val="00373A42"/>
    <w:rsid w:val="004A6ED2"/>
    <w:rsid w:val="0051599E"/>
    <w:rsid w:val="005403C9"/>
    <w:rsid w:val="005707A6"/>
    <w:rsid w:val="005F2EA6"/>
    <w:rsid w:val="005F55C5"/>
    <w:rsid w:val="005F6BAD"/>
    <w:rsid w:val="00750F3C"/>
    <w:rsid w:val="008C76F0"/>
    <w:rsid w:val="00932AED"/>
    <w:rsid w:val="009E4C93"/>
    <w:rsid w:val="00A03474"/>
    <w:rsid w:val="00B35F65"/>
    <w:rsid w:val="00B7250D"/>
    <w:rsid w:val="00C221D7"/>
    <w:rsid w:val="00C84FA0"/>
    <w:rsid w:val="00D16A1C"/>
    <w:rsid w:val="00D71B8C"/>
    <w:rsid w:val="00D8691C"/>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 w:type="paragraph" w:customStyle="1" w:styleId="font-claude-response-body">
    <w:name w:val="font-claude-response-body"/>
    <w:basedOn w:val="Normal"/>
    <w:rsid w:val="00C221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155</Words>
  <Characters>885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5</cp:revision>
  <cp:lastPrinted>2026-06-17T17:15:00Z</cp:lastPrinted>
  <dcterms:created xsi:type="dcterms:W3CDTF">2026-06-17T17:15:00Z</dcterms:created>
  <dcterms:modified xsi:type="dcterms:W3CDTF">2026-06-17T17:20:00Z</dcterms:modified>
</cp:coreProperties>
</file>