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6A28D260" w14:textId="77777777" w:rsidR="00413A16" w:rsidRDefault="000C0EE1" w:rsidP="00047364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</w:t>
      </w:r>
      <w:r w:rsidR="00413A16">
        <w:t xml:space="preserve"> at:</w:t>
      </w:r>
    </w:p>
    <w:p w14:paraId="1B558A07" w14:textId="019270E1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 </w:t>
      </w:r>
      <w:hyperlink r:id="rId8" w:history="1">
        <w:r w:rsidR="008B28B2">
          <w:rPr>
            <w:rStyle w:val="a9"/>
          </w:rPr>
          <w:t>https://judge.softuni.org/Contests/2758/Objects-and-Composition-Lab</w:t>
        </w:r>
      </w:hyperlink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lastRenderedPageBreak/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AE35852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  <w:r w:rsidR="00F2438A">
              <w:rPr>
                <w:b w:val="0"/>
                <w:bCs/>
              </w:rPr>
              <w:t>x`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</w:t>
      </w:r>
      <w:r w:rsidRPr="000C0EE1">
        <w:lastRenderedPageBreak/>
        <w:t xml:space="preserve">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9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lastRenderedPageBreak/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80CEC" w14:textId="77777777" w:rsidR="00172CFB" w:rsidRDefault="00172CFB" w:rsidP="008068A2">
      <w:pPr>
        <w:spacing w:after="0" w:line="240" w:lineRule="auto"/>
      </w:pPr>
      <w:r>
        <w:separator/>
      </w:r>
    </w:p>
  </w:endnote>
  <w:endnote w:type="continuationSeparator" w:id="0">
    <w:p w14:paraId="7CEB453E" w14:textId="77777777" w:rsidR="00172CFB" w:rsidRDefault="00172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4506" w14:textId="77777777" w:rsidR="004E4C1E" w:rsidRDefault="00000000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B60BE" w14:textId="77777777" w:rsidR="00172CFB" w:rsidRDefault="00172CFB" w:rsidP="008068A2">
      <w:pPr>
        <w:spacing w:after="0" w:line="240" w:lineRule="auto"/>
      </w:pPr>
      <w:r>
        <w:separator/>
      </w:r>
    </w:p>
  </w:footnote>
  <w:footnote w:type="continuationSeparator" w:id="0">
    <w:p w14:paraId="1E4F9453" w14:textId="77777777" w:rsidR="00172CFB" w:rsidRDefault="00172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49966">
    <w:abstractNumId w:val="0"/>
  </w:num>
  <w:num w:numId="2" w16cid:durableId="34894785">
    <w:abstractNumId w:val="2"/>
  </w:num>
  <w:num w:numId="3" w16cid:durableId="394671751">
    <w:abstractNumId w:val="5"/>
  </w:num>
  <w:num w:numId="4" w16cid:durableId="1728993242">
    <w:abstractNumId w:val="1"/>
  </w:num>
  <w:num w:numId="5" w16cid:durableId="1823541455">
    <w:abstractNumId w:val="4"/>
  </w:num>
  <w:num w:numId="6" w16cid:durableId="1816601081">
    <w:abstractNumId w:val="3"/>
  </w:num>
  <w:num w:numId="7" w16cid:durableId="81094589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2CFB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B2B9A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94546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13A16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47915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6489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28B2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0E2C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57D29"/>
    <w:rsid w:val="00A62D63"/>
    <w:rsid w:val="00A66DE2"/>
    <w:rsid w:val="00A70227"/>
    <w:rsid w:val="00A847D3"/>
    <w:rsid w:val="00AA02EB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53A9B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1D1F"/>
    <w:rsid w:val="00F04DC2"/>
    <w:rsid w:val="00F13FCA"/>
    <w:rsid w:val="00F1472C"/>
    <w:rsid w:val="00F20B48"/>
    <w:rsid w:val="00F2438A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5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8/Objects-and-Composition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Entit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86</cp:revision>
  <cp:lastPrinted>2023-05-04T05:46:00Z</cp:lastPrinted>
  <dcterms:created xsi:type="dcterms:W3CDTF">2019-11-12T12:29:00Z</dcterms:created>
  <dcterms:modified xsi:type="dcterms:W3CDTF">2025-01-15T12:59:00Z</dcterms:modified>
  <cp:category>programming; education; software engineering; software development</cp:category>
</cp:coreProperties>
</file>