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line="360" w:lineRule="auto"/>
        <w:jc w:val="left"/>
      </w:pPr>
      <w:r>
        <w:rPr>
          <w:rFonts w:ascii="Times New Roman" w:hAnsi="Times New Roman" w:eastAsia="Times New Roman"/>
          <w:b/>
          <w:sz w:val="28"/>
        </w:rPr>
        <w:t>Висновки до розділу 4</w:t>
      </w:r>
    </w:p>
    <w:p>
      <w:pPr>
        <w:spacing w:line="360" w:lineRule="auto" w:before="0" w:after="0"/>
        <w:ind w:firstLine="709"/>
        <w:jc w:val="both"/>
      </w:pPr>
      <w:r>
        <w:rPr>
          <w:rFonts w:ascii="Times New Roman" w:hAnsi="Times New Roman" w:eastAsia="Times New Roman"/>
          <w:sz w:val="28"/>
        </w:rPr>
        <w:t>1. У розділі сформовано процесну модель оцінювання якості програмного забезпечення M_process = (𝒯, 𝒜, ℰ, 𝒦, 𝒰, C), яка визначає місце оцінювання у життєвому циклі, склад доступних на кожній стадії артефактів і свідчень, контрольні точки та правила повторного оцінювання після появи нових даних або зміни специфікації. На відміну від одноразового оцінювання перед тестуванням або релізом, запропонована модель розглядає якість як послідовність версіонованих станів Pⱼ(τ, v), що містять поточну оцінку, покриття та надійність доказової бази, невизначеність, ризики та походження свідчень.</w:t>
      </w:r>
    </w:p>
    <w:p>
      <w:pPr>
        <w:spacing w:line="360" w:lineRule="auto" w:before="0" w:after="0"/>
        <w:ind w:firstLine="709"/>
        <w:jc w:val="both"/>
      </w:pPr>
      <w:r>
        <w:rPr>
          <w:rFonts w:ascii="Times New Roman" w:hAnsi="Times New Roman" w:eastAsia="Times New Roman"/>
          <w:sz w:val="28"/>
        </w:rPr>
        <w:t>2. Побудовано модель якості M_quality = (Q, G, Φ, 𝓕, Θ, C, Agg, 𝒟), у якій перехід від вимог до якості програмного продукту формалізовано багаторівневою структурою R → 𝒫 → M → Q. Основним результатом моделі є не інтегральний бал, а характеристико-специфічний профіль Ŷ = (ŷ₁, …, ŷ₉), узгоджений зі структурою якості програмного продукту ISO/IEC 25010:2023. Це дозволяє окремо оцінювати різні характеристики, використовувати для них різні релевантні множини вимог і ознак та уникати втрати інформації під час передчасного агрегування.</w:t>
      </w:r>
    </w:p>
    <w:p>
      <w:pPr>
        <w:spacing w:line="360" w:lineRule="auto" w:before="0" w:after="0"/>
        <w:ind w:firstLine="709"/>
        <w:jc w:val="both"/>
      </w:pPr>
      <w:r>
        <w:rPr>
          <w:rFonts w:ascii="Times New Roman" w:hAnsi="Times New Roman" w:eastAsia="Times New Roman"/>
          <w:sz w:val="28"/>
        </w:rPr>
        <w:t>3. Для кожної характеристики qⱼ оцінювання подано як сімейство функцій ŷⱼ = Fθⱼ(Xⱼ, C), де Xⱼ формується з характеристико-специфічних метрик і доступних статичних або динамічних свідчень. Конкретний клас функції Fθⱼ і значення параметрів θⱼ у теоретичній частині навмисно не фіксуються довільно. Визначено лише структуру моделі та вимоги до її інтерпретованості, калібрації і часової чистоти, тоді як вибір між регресійними, багатокритеріальними, нечіткими або машинно-навчальними реалізаціями має здійснюватися за результатами експериментального порівняння.</w:t>
      </w:r>
    </w:p>
    <w:p>
      <w:pPr>
        <w:spacing w:line="360" w:lineRule="auto" w:before="0" w:after="0"/>
        <w:ind w:firstLine="709"/>
        <w:jc w:val="both"/>
      </w:pPr>
      <w:r>
        <w:rPr>
          <w:rFonts w:ascii="Times New Roman" w:hAnsi="Times New Roman" w:eastAsia="Times New Roman"/>
          <w:sz w:val="28"/>
        </w:rPr>
        <w:t>4. Запропоновано контекстний механізм інтерпретації профілю якості, який розділяє прогнозні параметри моделі та управлінські правила прийняття рішень. Інтегральний показник Q_int(C) розглядається лише як допоміжне представлення, а для критичних характеристик введено умови некомпенсованої допустимості. Завдяки цьому високе значення одних характеристик не може автоматично компенсувати неприйнятний рівень безпеки, надійності або іншої критичної властивості, а рішення пов’язується також із покриттям і надійністю доказової бази.</w:t>
      </w:r>
    </w:p>
    <w:p>
      <w:pPr>
        <w:spacing w:line="360" w:lineRule="auto" w:before="0" w:after="0"/>
        <w:ind w:firstLine="709"/>
        <w:jc w:val="both"/>
      </w:pPr>
      <w:r>
        <w:rPr>
          <w:rFonts w:ascii="Times New Roman" w:hAnsi="Times New Roman" w:eastAsia="Times New Roman"/>
          <w:sz w:val="28"/>
        </w:rPr>
        <w:t>5. Побудовано модель дефектів, ризиків і коригувальних впливів M_risk = (D, RᴰQ, Ψ, Π, Aᶜᵒʳʳ, Gᴰ, ReEval, C), яка переводить виявлені дефекти вимог у характеристико-специфічний ризиковий профіль. Для цього визначено структуру дефекту, матрицю ризикової належності RᴰQ, локальну оцінку ризику rᵢⱼ, оператор агрегації Ψⱼ, вектор пріоритезації Πᵢ, структуру коригувальної дії та граф залежностей між дефектами. Модель дає змогу не лише виявити проблему у вимозі, а й оцінити її потенційний вплив, визначити пріоритет опрацювання та сформувати основу для вибору коригувальної дії.</w:t>
      </w:r>
    </w:p>
    <w:p>
      <w:pPr>
        <w:spacing w:line="360" w:lineRule="auto" w:before="0" w:after="0"/>
        <w:ind w:firstLine="709"/>
        <w:jc w:val="both"/>
      </w:pPr>
      <w:r>
        <w:rPr>
          <w:rFonts w:ascii="Times New Roman" w:hAnsi="Times New Roman" w:eastAsia="Times New Roman"/>
          <w:sz w:val="28"/>
        </w:rPr>
        <w:t>6. Три моделі об’єднано в єдину теоретичну систему 𝓜 = {M_process, M_quality, M_risk}. У ній M_process визначає, коли і на яких версіях артефактів виконується оцінювання; M_quality формує характеристико-специфічний профіль Ŷ; M_risk визначає дефекти, ризики та коригувальні впливи, після яких формується нова версія специфікації і запускається повторне оцінювання. Узагальнений цикл має вигляд 𝒜ᵛ → M_process → M_quality → Ŷᵛ → M_risk → R̂ᵛ → Aᶜᵒʳʳ → 𝒜ᵛ⁺¹ → ReEval → (Ŷᵛ⁺¹, R̂ᵛ⁺¹). Така композиція завершує теоретичну частину запропонованого підходу і формує безпосередню постановку задачі для експериментального дослідження.</w:t>
      </w:r>
    </w:p>
    <w:p>
      <w:pPr>
        <w:spacing w:line="360" w:lineRule="auto" w:before="0" w:after="0"/>
        <w:ind w:firstLine="709"/>
        <w:jc w:val="both"/>
      </w:pPr>
      <w:r>
        <w:rPr>
          <w:rFonts w:ascii="Times New Roman" w:hAnsi="Times New Roman" w:eastAsia="Times New Roman"/>
          <w:sz w:val="28"/>
        </w:rPr>
        <w:t>7. У розділі свідомо не встановлено універсальних ваг, порогів, значень ρᵢⱼ, pᵢⱼ та Iᵢⱼ, остаточної форми операторів Ψⱼ, параметрів пріоритезації та конкретного класу Fθⱼ. Ці величини залежать від контексту, доступних даних і властивостей досліджуваних проєктів, тому їх визначення без емпіричної перевірки створило б необґрунтовану точність. Отже, наступним етапом роботи є програмна реалізація компонентів системи моделей, формування експериментальної вибірки, калібрація параметрів та кількісна перевірка точності ранніх оцінок, адекватності ризикового ранжування і ефекту коригувальних дій.</w:t>
      </w:r>
    </w:p>
    <w:sectPr w:rsidR="00FC693F" w:rsidRPr="0006063C" w:rsidSect="00034616">
      <w:pgSz w:w="11906" w:h="16838"/>
      <w:pgMar w:top="1134" w:right="56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jc w:val="both"/>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360" w:lineRule="auto"/>
      <w:jc w:val="left"/>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
    <w:name w:val="Eq"/>
    <w:pPr>
      <w:spacing w:line="360" w:lineRule="auto" w:before="60" w:after="60"/>
      <w:jc w:val="center"/>
    </w:pPr>
    <w:rPr>
      <w:rFonts w:ascii="Times New Roman" w:hAnsi="Times New Roman"/>
      <w:i/>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