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ПРИКЛАД ЗАСТОСУВАННЯ МОДЕЛІ РАННЬОГО ОЦІНЮВАННЯ ЯКОСТІ</w:t>
        <w:br/>
        <w:t>У КОНТЕКСТІ УКРАЇНСЬКОЇ ІТ-ІНДУСТРІЇ</w:t>
      </w:r>
    </w:p>
    <w:p>
      <w:pPr>
        <w:ind w:firstLine="0"/>
        <w:jc w:val="center"/>
      </w:pPr>
      <w:r>
        <w:rPr>
          <w:i/>
          <w:sz w:val="26"/>
        </w:rPr>
        <w:t>Навчально-демонстраційний приклад для подальшого використання у науковій роботі</w:t>
      </w:r>
    </w:p>
    <w:p/>
    <w:p>
      <w:r>
        <w:t>Метою цього прикладу є показ практичного застосування теоретичної моделі раннього оцінювання якості програмного продукту на основі властивостей специфікації вимог. Приклад побудовано так, щоб він відображав типовий для української ІТ-індустрії формат роботи: українська сервісна компанія виконує розроблення програмної системи для іноземного бізнес-клієнта, а команда працює з вимогами, архітектурою, реалізацією, тестуванням та супроводом продукту в межах контрактного проєкту.</w:t>
      </w:r>
    </w:p>
    <w:p>
      <w:pPr>
        <w:pStyle w:val="ScientificNote"/>
      </w:pPr>
      <w:r>
        <w:t>Примітка. Галузевий контекст у вступі спирається на відкриті статистичні та аналітичні джерела. Назва компанії, продукту, набір вимог, значення метрик, коефіцієнти прогнозних моделей, ризикові параметри та результати тестування в цьому прикладі є умовними. Вони використані виключно для демонстрації повного алгоритму обчислення і не повинні трактуватися як уже відкалібровані результати дисертаційного експерименту.</w:t>
      </w:r>
    </w:p>
    <w:p>
      <w:pPr>
        <w:pStyle w:val="Heading1"/>
      </w:pPr>
      <w:r>
        <w:t>1. Галузевий контекст і постановка прикладної задачі</w:t>
      </w:r>
    </w:p>
    <w:p>
      <w:r>
        <w:t>Українська ІТ-індустрія має виражену експортну орієнтацію, а значна частина компаній працює у форматі розроблення програмного забезпечення та надання технологічних послуг іноземним замовникам. За даними IT Ukraine Association, у першому півріччі 2026 року експорт комп’ютерних послуг України становив 3,343 млрд дол. США, а серед найбільших ринків залишалися США, Велика Британія та інші європейські країни. У ширшому вимірі дослідження «The Code Economy» також підкреслює системну роль ІТ для української економіки та високу частку експорту послуг, яку формує галузь.</w:t>
      </w:r>
    </w:p>
    <w:p>
      <w:r>
        <w:t>Для прикладу розглянемо умовну українську ІТ-компанію «UA Software Delivery», яка розробляє для європейського логістичного оператора хмарну SaaS-платформу «LogiFlow». Платформа використовується для планування маршрутів, диспетчеризації транспортних засобів, відстеження статусу доставок, обміну даними з мобільним застосунком водія та інтеграції з зовнішніми GPS- і картографічними сервісами.</w:t>
      </w:r>
    </w:p>
    <w:p>
      <w:r>
        <w:t>Проєкт має всі типові ознаки сучасної сервісної розробки: розподілену команду, зовнішнього замовника, REST API, вебінтерфейс, мобільний клієнт, сторонні інтеграції, вимоги до доступності сервісу, захисту персональних даних, продуктивності та швидкого випуску змін. Тому якість специфікації вимог безпосередньо впливає не лише на зручність роботи аналітика або розробника, а й на ймовірність появи дефектів у майбутньому програмному продукті.</w:t>
      </w:r>
    </w:p>
    <w:p>
      <w:pPr>
        <w:pStyle w:val="Heading1"/>
      </w:pPr>
      <w:r>
        <w:t>2. Початкова специфікація вимог S₁</w:t>
      </w:r>
    </w:p>
    <w:p>
      <w:r>
        <w:t>На ранній стадії τᴿ бізнес-аналітик отримує від замовника первинний опис функціональності. Для демонстрації припустимо, що до початкової специфікації S₁ потрапили такі формулювання:</w:t>
      </w:r>
    </w:p>
    <w:tbl>
      <w:tblPr>
        <w:tblStyle w:val="TableGrid"/>
        <w:tblW w:type="auto" w:w="0"/>
        <w:jc w:val="center"/>
        <w:tblLayout w:type="fixed"/>
        <w:tblLook w:firstColumn="1" w:firstRow="1" w:lastColumn="0" w:lastRow="0" w:noHBand="0" w:noVBand="1" w:val="04A0"/>
      </w:tblPr>
      <w:tblGrid>
        <w:gridCol w:w="4844"/>
        <w:gridCol w:w="4844"/>
      </w:tblGrid>
      <w:tr>
        <w:trPr>
          <w:tblHeader w:val="true"/>
        </w:trPr>
        <w:tc>
          <w:tcPr>
            <w:tcW w:type="dxa" w:w="680"/>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21"/>
              </w:rPr>
              <w:t>ID</w:t>
            </w:r>
          </w:p>
        </w:tc>
        <w:tc>
          <w:tcPr>
            <w:tcW w:type="dxa" w:w="7937"/>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21"/>
              </w:rPr>
              <w:t>Початкове формулювання / проблема</w:t>
            </w:r>
          </w:p>
        </w:tc>
      </w:tr>
      <w:tr>
        <w:trPr>
          <w:cantSplit/>
        </w:trPr>
        <w:tc>
          <w:tcPr>
            <w:tcW w:type="dxa" w:w="680"/>
            <w:vAlign w:val="center"/>
            <w:tcMar>
              <w:top w:w="70" w:type="dxa"/>
              <w:start w:w="80" w:type="dxa"/>
              <w:bottom w:w="70" w:type="dxa"/>
              <w:end w:w="80" w:type="dxa"/>
            </w:tcMar>
          </w:tcPr>
          <w:p>
            <w:pPr>
              <w:spacing w:line="240" w:lineRule="auto" w:after="0"/>
              <w:ind w:firstLine="0"/>
              <w:jc w:val="left"/>
            </w:pPr>
            <w:r>
              <w:rPr>
                <w:rFonts w:ascii="Times New Roman" w:hAnsi="Times New Roman"/>
                <w:sz w:val="21"/>
              </w:rPr>
              <w:t>R1</w:t>
            </w:r>
          </w:p>
        </w:tc>
        <w:tc>
          <w:tcPr>
            <w:tcW w:type="dxa" w:w="7937"/>
            <w:vAlign w:val="center"/>
            <w:tcMar>
              <w:top w:w="70" w:type="dxa"/>
              <w:start w:w="80" w:type="dxa"/>
              <w:bottom w:w="70" w:type="dxa"/>
              <w:end w:w="80" w:type="dxa"/>
            </w:tcMar>
          </w:tcPr>
          <w:p>
            <w:pPr>
              <w:spacing w:line="240" w:lineRule="auto" w:after="0"/>
              <w:ind w:firstLine="0"/>
              <w:jc w:val="center"/>
            </w:pPr>
            <w:r>
              <w:rPr>
                <w:rFonts w:ascii="Times New Roman" w:hAnsi="Times New Roman"/>
                <w:sz w:val="21"/>
              </w:rPr>
              <w:t>Система повинна оновлювати місцезнаходження транспортного засобу в реальному часі.</w:t>
            </w:r>
          </w:p>
        </w:tc>
      </w:tr>
      <w:tr>
        <w:trPr>
          <w:cantSplit/>
        </w:trPr>
        <w:tc>
          <w:tcPr>
            <w:tcW w:type="dxa" w:w="680"/>
            <w:vAlign w:val="center"/>
            <w:tcMar>
              <w:top w:w="70" w:type="dxa"/>
              <w:start w:w="80" w:type="dxa"/>
              <w:bottom w:w="70" w:type="dxa"/>
              <w:end w:w="80" w:type="dxa"/>
            </w:tcMar>
          </w:tcPr>
          <w:p>
            <w:pPr>
              <w:spacing w:line="240" w:lineRule="auto" w:after="0"/>
              <w:ind w:firstLine="0"/>
              <w:jc w:val="left"/>
            </w:pPr>
            <w:r>
              <w:rPr>
                <w:rFonts w:ascii="Times New Roman" w:hAnsi="Times New Roman"/>
                <w:sz w:val="21"/>
              </w:rPr>
              <w:t>R2</w:t>
            </w:r>
          </w:p>
        </w:tc>
        <w:tc>
          <w:tcPr>
            <w:tcW w:type="dxa" w:w="7937"/>
            <w:vAlign w:val="center"/>
            <w:tcMar>
              <w:top w:w="70" w:type="dxa"/>
              <w:start w:w="80" w:type="dxa"/>
              <w:bottom w:w="70" w:type="dxa"/>
              <w:end w:w="80" w:type="dxa"/>
            </w:tcMar>
          </w:tcPr>
          <w:p>
            <w:pPr>
              <w:spacing w:line="240" w:lineRule="auto" w:after="0"/>
              <w:ind w:firstLine="0"/>
              <w:jc w:val="center"/>
            </w:pPr>
            <w:r>
              <w:rPr>
                <w:rFonts w:ascii="Times New Roman" w:hAnsi="Times New Roman"/>
                <w:sz w:val="21"/>
              </w:rPr>
              <w:t>Маршрут доставки повинен швидко перераховуватися у разі зміни дорожньої ситуації.</w:t>
            </w:r>
          </w:p>
        </w:tc>
      </w:tr>
      <w:tr>
        <w:trPr>
          <w:cantSplit/>
        </w:trPr>
        <w:tc>
          <w:tcPr>
            <w:tcW w:type="dxa" w:w="680"/>
            <w:vAlign w:val="center"/>
            <w:tcMar>
              <w:top w:w="70" w:type="dxa"/>
              <w:start w:w="80" w:type="dxa"/>
              <w:bottom w:w="70" w:type="dxa"/>
              <w:end w:w="80" w:type="dxa"/>
            </w:tcMar>
          </w:tcPr>
          <w:p>
            <w:pPr>
              <w:spacing w:line="240" w:lineRule="auto" w:after="0"/>
              <w:ind w:firstLine="0"/>
              <w:jc w:val="left"/>
            </w:pPr>
            <w:r>
              <w:rPr>
                <w:rFonts w:ascii="Times New Roman" w:hAnsi="Times New Roman"/>
                <w:sz w:val="21"/>
              </w:rPr>
              <w:t>R3</w:t>
            </w:r>
          </w:p>
        </w:tc>
        <w:tc>
          <w:tcPr>
            <w:tcW w:type="dxa" w:w="7937"/>
            <w:vAlign w:val="center"/>
            <w:tcMar>
              <w:top w:w="70" w:type="dxa"/>
              <w:start w:w="80" w:type="dxa"/>
              <w:bottom w:w="70" w:type="dxa"/>
              <w:end w:w="80" w:type="dxa"/>
            </w:tcMar>
          </w:tcPr>
          <w:p>
            <w:pPr>
              <w:spacing w:line="240" w:lineRule="auto" w:after="0"/>
              <w:ind w:firstLine="0"/>
              <w:jc w:val="center"/>
            </w:pPr>
            <w:r>
              <w:rPr>
                <w:rFonts w:ascii="Times New Roman" w:hAnsi="Times New Roman"/>
                <w:sz w:val="21"/>
              </w:rPr>
              <w:t>Персональні та комерційні дані повинні бути надійно захищені.</w:t>
            </w:r>
          </w:p>
        </w:tc>
      </w:tr>
      <w:tr>
        <w:trPr>
          <w:cantSplit/>
        </w:trPr>
        <w:tc>
          <w:tcPr>
            <w:tcW w:type="dxa" w:w="680"/>
            <w:vAlign w:val="center"/>
            <w:tcMar>
              <w:top w:w="70" w:type="dxa"/>
              <w:start w:w="80" w:type="dxa"/>
              <w:bottom w:w="70" w:type="dxa"/>
              <w:end w:w="80" w:type="dxa"/>
            </w:tcMar>
          </w:tcPr>
          <w:p>
            <w:pPr>
              <w:spacing w:line="240" w:lineRule="auto" w:after="0"/>
              <w:ind w:firstLine="0"/>
              <w:jc w:val="left"/>
            </w:pPr>
            <w:r>
              <w:rPr>
                <w:rFonts w:ascii="Times New Roman" w:hAnsi="Times New Roman"/>
                <w:sz w:val="21"/>
              </w:rPr>
              <w:t>R4</w:t>
            </w:r>
          </w:p>
        </w:tc>
        <w:tc>
          <w:tcPr>
            <w:tcW w:type="dxa" w:w="7937"/>
            <w:vAlign w:val="center"/>
            <w:tcMar>
              <w:top w:w="70" w:type="dxa"/>
              <w:start w:w="80" w:type="dxa"/>
              <w:bottom w:w="70" w:type="dxa"/>
              <w:end w:w="80" w:type="dxa"/>
            </w:tcMar>
          </w:tcPr>
          <w:p>
            <w:pPr>
              <w:spacing w:line="240" w:lineRule="auto" w:after="0"/>
              <w:ind w:firstLine="0"/>
              <w:jc w:val="center"/>
            </w:pPr>
            <w:r>
              <w:rPr>
                <w:rFonts w:ascii="Times New Roman" w:hAnsi="Times New Roman"/>
                <w:sz w:val="21"/>
              </w:rPr>
              <w:t>Система повинна залишатися доступною під час пікового навантаження.</w:t>
            </w:r>
          </w:p>
        </w:tc>
      </w:tr>
      <w:tr>
        <w:trPr>
          <w:cantSplit/>
        </w:trPr>
        <w:tc>
          <w:tcPr>
            <w:tcW w:type="dxa" w:w="680"/>
            <w:vAlign w:val="center"/>
            <w:tcMar>
              <w:top w:w="70" w:type="dxa"/>
              <w:start w:w="80" w:type="dxa"/>
              <w:bottom w:w="70" w:type="dxa"/>
              <w:end w:w="80" w:type="dxa"/>
            </w:tcMar>
          </w:tcPr>
          <w:p>
            <w:pPr>
              <w:spacing w:line="240" w:lineRule="auto" w:after="0"/>
              <w:ind w:firstLine="0"/>
              <w:jc w:val="left"/>
            </w:pPr>
            <w:r>
              <w:rPr>
                <w:rFonts w:ascii="Times New Roman" w:hAnsi="Times New Roman"/>
                <w:sz w:val="21"/>
              </w:rPr>
              <w:t>R5</w:t>
            </w:r>
          </w:p>
        </w:tc>
        <w:tc>
          <w:tcPr>
            <w:tcW w:type="dxa" w:w="7937"/>
            <w:vAlign w:val="center"/>
            <w:tcMar>
              <w:top w:w="70" w:type="dxa"/>
              <w:start w:w="80" w:type="dxa"/>
              <w:bottom w:w="70" w:type="dxa"/>
              <w:end w:w="80" w:type="dxa"/>
            </w:tcMar>
          </w:tcPr>
          <w:p>
            <w:pPr>
              <w:spacing w:line="240" w:lineRule="auto" w:after="0"/>
              <w:ind w:firstLine="0"/>
              <w:jc w:val="center"/>
            </w:pPr>
            <w:r>
              <w:rPr>
                <w:rFonts w:ascii="Times New Roman" w:hAnsi="Times New Roman"/>
                <w:sz w:val="21"/>
              </w:rPr>
              <w:t>Поведінка системи у разі недоступності зовнішнього GPS-провайдера не визначена.</w:t>
            </w:r>
          </w:p>
        </w:tc>
      </w:tr>
      <w:tr>
        <w:trPr>
          <w:cantSplit/>
        </w:trPr>
        <w:tc>
          <w:tcPr>
            <w:tcW w:type="dxa" w:w="680"/>
            <w:vAlign w:val="center"/>
            <w:tcMar>
              <w:top w:w="70" w:type="dxa"/>
              <w:start w:w="80" w:type="dxa"/>
              <w:bottom w:w="70" w:type="dxa"/>
              <w:end w:w="80" w:type="dxa"/>
            </w:tcMar>
          </w:tcPr>
          <w:p>
            <w:pPr>
              <w:spacing w:line="240" w:lineRule="auto" w:after="0"/>
              <w:ind w:firstLine="0"/>
              <w:jc w:val="left"/>
            </w:pPr>
            <w:r>
              <w:rPr>
                <w:rFonts w:ascii="Times New Roman" w:hAnsi="Times New Roman"/>
                <w:sz w:val="21"/>
              </w:rPr>
              <w:t>R6</w:t>
            </w:r>
          </w:p>
        </w:tc>
        <w:tc>
          <w:tcPr>
            <w:tcW w:type="dxa" w:w="7937"/>
            <w:vAlign w:val="center"/>
            <w:tcMar>
              <w:top w:w="70" w:type="dxa"/>
              <w:start w:w="80" w:type="dxa"/>
              <w:bottom w:w="70" w:type="dxa"/>
              <w:end w:w="80" w:type="dxa"/>
            </w:tcMar>
          </w:tcPr>
          <w:p>
            <w:pPr>
              <w:spacing w:line="240" w:lineRule="auto" w:after="0"/>
              <w:ind w:firstLine="0"/>
              <w:jc w:val="center"/>
            </w:pPr>
            <w:r>
              <w:rPr>
                <w:rFonts w:ascii="Times New Roman" w:hAnsi="Times New Roman"/>
                <w:sz w:val="21"/>
              </w:rPr>
              <w:t>У двох частинах документа задано різний час завершення неактивної сесії: 15 і 30 хвилин.</w:t>
            </w:r>
          </w:p>
        </w:tc>
      </w:tr>
      <w:tr>
        <w:trPr>
          <w:cantSplit/>
        </w:trPr>
        <w:tc>
          <w:tcPr>
            <w:tcW w:type="dxa" w:w="680"/>
            <w:vAlign w:val="center"/>
            <w:tcMar>
              <w:top w:w="70" w:type="dxa"/>
              <w:start w:w="80" w:type="dxa"/>
              <w:bottom w:w="70" w:type="dxa"/>
              <w:end w:w="80" w:type="dxa"/>
            </w:tcMar>
          </w:tcPr>
          <w:p>
            <w:pPr>
              <w:spacing w:line="240" w:lineRule="auto" w:after="0"/>
              <w:ind w:firstLine="0"/>
              <w:jc w:val="left"/>
            </w:pPr>
            <w:r>
              <w:rPr>
                <w:rFonts w:ascii="Times New Roman" w:hAnsi="Times New Roman"/>
                <w:sz w:val="21"/>
              </w:rPr>
              <w:t>R7</w:t>
            </w:r>
          </w:p>
        </w:tc>
        <w:tc>
          <w:tcPr>
            <w:tcW w:type="dxa" w:w="7937"/>
            <w:vAlign w:val="center"/>
            <w:tcMar>
              <w:top w:w="70" w:type="dxa"/>
              <w:start w:w="80" w:type="dxa"/>
              <w:bottom w:w="70" w:type="dxa"/>
              <w:end w:w="80" w:type="dxa"/>
            </w:tcMar>
          </w:tcPr>
          <w:p>
            <w:pPr>
              <w:spacing w:line="240" w:lineRule="auto" w:after="0"/>
              <w:ind w:firstLine="0"/>
              <w:jc w:val="center"/>
            </w:pPr>
            <w:r>
              <w:rPr>
                <w:rFonts w:ascii="Times New Roman" w:hAnsi="Times New Roman"/>
                <w:sz w:val="21"/>
              </w:rPr>
              <w:t>Критичні API-вимоги не пов’язані з конкретними acceptance tests та критеріями приймання.</w:t>
            </w:r>
          </w:p>
        </w:tc>
      </w:tr>
    </w:tbl>
    <w:p>
      <w:pPr>
        <w:spacing w:after="0"/>
      </w:pPr>
    </w:p>
    <w:p>
      <w:r>
        <w:t>На рівні людського сприйняття загальний зміст цих вимог є зрозумілим. Проте з інженерної точки зору специфікація містить невизначені поняття («у реальному часі», «швидко», «надійно»), пропуски поведінки у відмовних сценаріях, внутрішню суперечність і слабку трасованість. Саме такі дефекти є зручним прикладом того, чому сама наявність тексту вимог ще не означає достатню якість специфікації.</w:t>
      </w:r>
    </w:p>
    <w:p>
      <w:pPr>
        <w:pStyle w:val="Heading1"/>
      </w:pPr>
      <w:r>
        <w:t>3. Формування вимірюваних властивостей специфікації</w:t>
      </w:r>
    </w:p>
    <w:p>
      <w:r>
        <w:t>У межах запропонованої моделі текстові вимоги не подаються безпосередньо на вхід прогнозної функції. Спочатку вони відображаються у набір вимірюваних властивостей і метрик. Для цього можна використати характеристики повноти, однозначності, перевірюваності, узгодженості, трасованості, опрацьованості відмовних сценаріїв та конкретності безпекових вимог.</w:t>
      </w:r>
    </w:p>
    <w:tbl>
      <w:tblPr>
        <w:tblStyle w:val="TableGrid"/>
        <w:tblW w:type="auto" w:w="0"/>
        <w:jc w:val="center"/>
        <w:tblLayout w:type="fixed"/>
        <w:tblLook w:firstColumn="1" w:firstRow="1" w:lastColumn="0" w:lastRow="0" w:noHBand="0" w:noVBand="1" w:val="04A0"/>
      </w:tblPr>
      <w:tblGrid>
        <w:gridCol w:w="3230"/>
        <w:gridCol w:w="3230"/>
        <w:gridCol w:w="3230"/>
      </w:tblGrid>
      <w:tr>
        <w:trPr>
          <w:tblHeader w:val="true"/>
        </w:trPr>
        <w:tc>
          <w:tcPr>
            <w:tcW w:type="dxa" w:w="2551"/>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19"/>
              </w:rPr>
              <w:t>Властивість</w:t>
            </w:r>
          </w:p>
        </w:tc>
        <w:tc>
          <w:tcPr>
            <w:tcW w:type="dxa" w:w="1134"/>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19"/>
              </w:rPr>
              <w:t>Значення</w:t>
            </w:r>
          </w:p>
        </w:tc>
        <w:tc>
          <w:tcPr>
            <w:tcW w:type="dxa" w:w="4932"/>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19"/>
              </w:rPr>
              <w:t>Інтерпретація</w:t>
            </w:r>
          </w:p>
        </w:tc>
      </w:tr>
      <w:tr>
        <w:trPr>
          <w:cantSplit/>
        </w:trPr>
        <w:tc>
          <w:tcPr>
            <w:tcW w:type="dxa" w:w="2551"/>
            <w:vAlign w:val="center"/>
            <w:tcMar>
              <w:top w:w="70" w:type="dxa"/>
              <w:start w:w="80" w:type="dxa"/>
              <w:bottom w:w="70" w:type="dxa"/>
              <w:end w:w="80" w:type="dxa"/>
            </w:tcMar>
          </w:tcPr>
          <w:p>
            <w:pPr>
              <w:spacing w:line="240" w:lineRule="auto" w:after="0"/>
              <w:ind w:firstLine="0"/>
              <w:jc w:val="left"/>
            </w:pPr>
            <w:r>
              <w:rPr>
                <w:rFonts w:ascii="Times New Roman" w:hAnsi="Times New Roman"/>
                <w:sz w:val="19"/>
              </w:rPr>
              <w:t>Повнота</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19"/>
              </w:rPr>
              <w:t>0,58</w:t>
            </w:r>
          </w:p>
        </w:tc>
        <w:tc>
          <w:tcPr>
            <w:tcW w:type="dxa" w:w="4932"/>
            <w:vAlign w:val="center"/>
            <w:tcMar>
              <w:top w:w="70" w:type="dxa"/>
              <w:start w:w="80" w:type="dxa"/>
              <w:bottom w:w="70" w:type="dxa"/>
              <w:end w:w="80" w:type="dxa"/>
            </w:tcMar>
          </w:tcPr>
          <w:p>
            <w:pPr>
              <w:spacing w:line="240" w:lineRule="auto" w:after="0"/>
              <w:ind w:firstLine="0"/>
              <w:jc w:val="center"/>
            </w:pPr>
            <w:r>
              <w:rPr>
                <w:rFonts w:ascii="Times New Roman" w:hAnsi="Times New Roman"/>
                <w:sz w:val="19"/>
              </w:rPr>
              <w:t>Не описані всі виняткові та відмовні сценарії.</w:t>
            </w:r>
          </w:p>
        </w:tc>
      </w:tr>
      <w:tr>
        <w:trPr>
          <w:cantSplit/>
        </w:trPr>
        <w:tc>
          <w:tcPr>
            <w:tcW w:type="dxa" w:w="2551"/>
            <w:vAlign w:val="center"/>
            <w:tcMar>
              <w:top w:w="70" w:type="dxa"/>
              <w:start w:w="80" w:type="dxa"/>
              <w:bottom w:w="70" w:type="dxa"/>
              <w:end w:w="80" w:type="dxa"/>
            </w:tcMar>
          </w:tcPr>
          <w:p>
            <w:pPr>
              <w:spacing w:line="240" w:lineRule="auto" w:after="0"/>
              <w:ind w:firstLine="0"/>
              <w:jc w:val="left"/>
            </w:pPr>
            <w:r>
              <w:rPr>
                <w:rFonts w:ascii="Times New Roman" w:hAnsi="Times New Roman"/>
                <w:sz w:val="19"/>
              </w:rPr>
              <w:t>Однозначність</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19"/>
              </w:rPr>
              <w:t>0,55</w:t>
            </w:r>
          </w:p>
        </w:tc>
        <w:tc>
          <w:tcPr>
            <w:tcW w:type="dxa" w:w="4932"/>
            <w:vAlign w:val="center"/>
            <w:tcMar>
              <w:top w:w="70" w:type="dxa"/>
              <w:start w:w="80" w:type="dxa"/>
              <w:bottom w:w="70" w:type="dxa"/>
              <w:end w:w="80" w:type="dxa"/>
            </w:tcMar>
          </w:tcPr>
          <w:p>
            <w:pPr>
              <w:spacing w:line="240" w:lineRule="auto" w:after="0"/>
              <w:ind w:firstLine="0"/>
              <w:jc w:val="center"/>
            </w:pPr>
            <w:r>
              <w:rPr>
                <w:rFonts w:ascii="Times New Roman" w:hAnsi="Times New Roman"/>
                <w:sz w:val="19"/>
              </w:rPr>
              <w:t>Терміни «реальний час», «швидко», «надійно» не мають кількісних меж.</w:t>
            </w:r>
          </w:p>
        </w:tc>
      </w:tr>
      <w:tr>
        <w:trPr>
          <w:cantSplit/>
        </w:trPr>
        <w:tc>
          <w:tcPr>
            <w:tcW w:type="dxa" w:w="2551"/>
            <w:vAlign w:val="center"/>
            <w:tcMar>
              <w:top w:w="70" w:type="dxa"/>
              <w:start w:w="80" w:type="dxa"/>
              <w:bottom w:w="70" w:type="dxa"/>
              <w:end w:w="80" w:type="dxa"/>
            </w:tcMar>
          </w:tcPr>
          <w:p>
            <w:pPr>
              <w:spacing w:line="240" w:lineRule="auto" w:after="0"/>
              <w:ind w:firstLine="0"/>
              <w:jc w:val="left"/>
            </w:pPr>
            <w:r>
              <w:rPr>
                <w:rFonts w:ascii="Times New Roman" w:hAnsi="Times New Roman"/>
                <w:sz w:val="19"/>
              </w:rPr>
              <w:t>Перевірюваність</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19"/>
              </w:rPr>
              <w:t>0,49</w:t>
            </w:r>
          </w:p>
        </w:tc>
        <w:tc>
          <w:tcPr>
            <w:tcW w:type="dxa" w:w="4932"/>
            <w:vAlign w:val="center"/>
            <w:tcMar>
              <w:top w:w="70" w:type="dxa"/>
              <w:start w:w="80" w:type="dxa"/>
              <w:bottom w:w="70" w:type="dxa"/>
              <w:end w:w="80" w:type="dxa"/>
            </w:tcMar>
          </w:tcPr>
          <w:p>
            <w:pPr>
              <w:spacing w:line="240" w:lineRule="auto" w:after="0"/>
              <w:ind w:firstLine="0"/>
              <w:jc w:val="center"/>
            </w:pPr>
            <w:r>
              <w:rPr>
                <w:rFonts w:ascii="Times New Roman" w:hAnsi="Times New Roman"/>
                <w:sz w:val="19"/>
              </w:rPr>
              <w:t>Частина вимог не може бути однозначно перевірена тестом pass/fail.</w:t>
            </w:r>
          </w:p>
        </w:tc>
      </w:tr>
      <w:tr>
        <w:trPr>
          <w:cantSplit/>
        </w:trPr>
        <w:tc>
          <w:tcPr>
            <w:tcW w:type="dxa" w:w="2551"/>
            <w:vAlign w:val="center"/>
            <w:tcMar>
              <w:top w:w="70" w:type="dxa"/>
              <w:start w:w="80" w:type="dxa"/>
              <w:bottom w:w="70" w:type="dxa"/>
              <w:end w:w="80" w:type="dxa"/>
            </w:tcMar>
          </w:tcPr>
          <w:p>
            <w:pPr>
              <w:spacing w:line="240" w:lineRule="auto" w:after="0"/>
              <w:ind w:firstLine="0"/>
              <w:jc w:val="left"/>
            </w:pPr>
            <w:r>
              <w:rPr>
                <w:rFonts w:ascii="Times New Roman" w:hAnsi="Times New Roman"/>
                <w:sz w:val="19"/>
              </w:rPr>
              <w:t>Узгодженість</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19"/>
              </w:rPr>
              <w:t>0,68</w:t>
            </w:r>
          </w:p>
        </w:tc>
        <w:tc>
          <w:tcPr>
            <w:tcW w:type="dxa" w:w="4932"/>
            <w:vAlign w:val="center"/>
            <w:tcMar>
              <w:top w:w="70" w:type="dxa"/>
              <w:start w:w="80" w:type="dxa"/>
              <w:bottom w:w="70" w:type="dxa"/>
              <w:end w:w="80" w:type="dxa"/>
            </w:tcMar>
          </w:tcPr>
          <w:p>
            <w:pPr>
              <w:spacing w:line="240" w:lineRule="auto" w:after="0"/>
              <w:ind w:firstLine="0"/>
              <w:jc w:val="center"/>
            </w:pPr>
            <w:r>
              <w:rPr>
                <w:rFonts w:ascii="Times New Roman" w:hAnsi="Times New Roman"/>
                <w:sz w:val="19"/>
              </w:rPr>
              <w:t>Наявний конфлікт між двома значеннями session timeout.</w:t>
            </w:r>
          </w:p>
        </w:tc>
      </w:tr>
      <w:tr>
        <w:trPr>
          <w:cantSplit/>
        </w:trPr>
        <w:tc>
          <w:tcPr>
            <w:tcW w:type="dxa" w:w="2551"/>
            <w:vAlign w:val="center"/>
            <w:tcMar>
              <w:top w:w="70" w:type="dxa"/>
              <w:start w:w="80" w:type="dxa"/>
              <w:bottom w:w="70" w:type="dxa"/>
              <w:end w:w="80" w:type="dxa"/>
            </w:tcMar>
          </w:tcPr>
          <w:p>
            <w:pPr>
              <w:spacing w:line="240" w:lineRule="auto" w:after="0"/>
              <w:ind w:firstLine="0"/>
              <w:jc w:val="left"/>
            </w:pPr>
            <w:r>
              <w:rPr>
                <w:rFonts w:ascii="Times New Roman" w:hAnsi="Times New Roman"/>
                <w:sz w:val="19"/>
              </w:rPr>
              <w:t>Трасованість</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19"/>
              </w:rPr>
              <w:t>0,57</w:t>
            </w:r>
          </w:p>
        </w:tc>
        <w:tc>
          <w:tcPr>
            <w:tcW w:type="dxa" w:w="4932"/>
            <w:vAlign w:val="center"/>
            <w:tcMar>
              <w:top w:w="70" w:type="dxa"/>
              <w:start w:w="80" w:type="dxa"/>
              <w:bottom w:w="70" w:type="dxa"/>
              <w:end w:w="80" w:type="dxa"/>
            </w:tcMar>
          </w:tcPr>
          <w:p>
            <w:pPr>
              <w:spacing w:line="240" w:lineRule="auto" w:after="0"/>
              <w:ind w:firstLine="0"/>
              <w:jc w:val="center"/>
            </w:pPr>
            <w:r>
              <w:rPr>
                <w:rFonts w:ascii="Times New Roman" w:hAnsi="Times New Roman"/>
                <w:sz w:val="19"/>
              </w:rPr>
              <w:t>Не всі критичні вимоги пов’язані з тестами та критеріями приймання.</w:t>
            </w:r>
          </w:p>
        </w:tc>
      </w:tr>
      <w:tr>
        <w:trPr>
          <w:cantSplit/>
        </w:trPr>
        <w:tc>
          <w:tcPr>
            <w:tcW w:type="dxa" w:w="2551"/>
            <w:vAlign w:val="center"/>
            <w:tcMar>
              <w:top w:w="70" w:type="dxa"/>
              <w:start w:w="80" w:type="dxa"/>
              <w:bottom w:w="70" w:type="dxa"/>
              <w:end w:w="80" w:type="dxa"/>
            </w:tcMar>
          </w:tcPr>
          <w:p>
            <w:pPr>
              <w:spacing w:line="240" w:lineRule="auto" w:after="0"/>
              <w:ind w:firstLine="0"/>
              <w:jc w:val="left"/>
            </w:pPr>
            <w:r>
              <w:rPr>
                <w:rFonts w:ascii="Times New Roman" w:hAnsi="Times New Roman"/>
                <w:sz w:val="19"/>
              </w:rPr>
              <w:t>Опрацьованість відмовних сценаріїв</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19"/>
              </w:rPr>
              <w:t>0,45</w:t>
            </w:r>
          </w:p>
        </w:tc>
        <w:tc>
          <w:tcPr>
            <w:tcW w:type="dxa" w:w="4932"/>
            <w:vAlign w:val="center"/>
            <w:tcMar>
              <w:top w:w="70" w:type="dxa"/>
              <w:start w:w="80" w:type="dxa"/>
              <w:bottom w:w="70" w:type="dxa"/>
              <w:end w:w="80" w:type="dxa"/>
            </w:tcMar>
          </w:tcPr>
          <w:p>
            <w:pPr>
              <w:spacing w:line="240" w:lineRule="auto" w:after="0"/>
              <w:ind w:firstLine="0"/>
              <w:jc w:val="center"/>
            </w:pPr>
            <w:r>
              <w:rPr>
                <w:rFonts w:ascii="Times New Roman" w:hAnsi="Times New Roman"/>
                <w:sz w:val="19"/>
              </w:rPr>
              <w:t>Не визначена реакція на недоступність GPS-провайдера.</w:t>
            </w:r>
          </w:p>
        </w:tc>
      </w:tr>
      <w:tr>
        <w:trPr>
          <w:cantSplit/>
        </w:trPr>
        <w:tc>
          <w:tcPr>
            <w:tcW w:type="dxa" w:w="2551"/>
            <w:vAlign w:val="center"/>
            <w:tcMar>
              <w:top w:w="70" w:type="dxa"/>
              <w:start w:w="80" w:type="dxa"/>
              <w:bottom w:w="70" w:type="dxa"/>
              <w:end w:w="80" w:type="dxa"/>
            </w:tcMar>
          </w:tcPr>
          <w:p>
            <w:pPr>
              <w:spacing w:line="240" w:lineRule="auto" w:after="0"/>
              <w:ind w:firstLine="0"/>
              <w:jc w:val="left"/>
            </w:pPr>
            <w:r>
              <w:rPr>
                <w:rFonts w:ascii="Times New Roman" w:hAnsi="Times New Roman"/>
                <w:sz w:val="19"/>
              </w:rPr>
              <w:t>Конкретність безпекових вимог</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19"/>
              </w:rPr>
              <w:t>0,52</w:t>
            </w:r>
          </w:p>
        </w:tc>
        <w:tc>
          <w:tcPr>
            <w:tcW w:type="dxa" w:w="4932"/>
            <w:vAlign w:val="center"/>
            <w:tcMar>
              <w:top w:w="70" w:type="dxa"/>
              <w:start w:w="80" w:type="dxa"/>
              <w:bottom w:w="70" w:type="dxa"/>
              <w:end w:w="80" w:type="dxa"/>
            </w:tcMar>
          </w:tcPr>
          <w:p>
            <w:pPr>
              <w:spacing w:line="240" w:lineRule="auto" w:after="0"/>
              <w:ind w:firstLine="0"/>
              <w:jc w:val="center"/>
            </w:pPr>
            <w:r>
              <w:rPr>
                <w:rFonts w:ascii="Times New Roman" w:hAnsi="Times New Roman"/>
                <w:sz w:val="19"/>
              </w:rPr>
              <w:t>Заявлено «надійний захист», але не задано технічних і перевірюваних критеріїв.</w:t>
            </w:r>
          </w:p>
        </w:tc>
      </w:tr>
    </w:tbl>
    <w:p>
      <w:pPr>
        <w:spacing w:after="0"/>
      </w:pPr>
    </w:p>
    <w:p>
      <w:r>
        <w:t>Усі значення нормовані до інтервалу [0;1], де більше значення відповідає кращому стану властивості. У реальному експерименті правила обчислення цих метрик повинні бути формалізовані, а їх стабільність — перевірена на вибірці специфікацій. Тут використано демонстраційні значення, достатні для пояснення математичного механізму.</w:t>
      </w:r>
    </w:p>
    <w:p>
      <w:pPr>
        <w:pStyle w:val="Heading1"/>
      </w:pPr>
      <w:r>
        <w:t>4. Формування характеристико-специфічних векторів Xⱼ</w:t>
      </w:r>
    </w:p>
    <w:p>
      <w:r>
        <w:t>Важливо, що одна й та сама властивість вимог може мати різну прогностичну цінність для різних характеристик продукту. Тому для кожної характеристики якості формується окремий вектор Xⱼ, а не один універсальний бал документа.</w:t>
      </w:r>
    </w:p>
    <w:p>
      <w:pPr>
        <w:pStyle w:val="ListBullet"/>
        <w:spacing w:line="360" w:lineRule="auto"/>
        <w:ind w:left="709" w:hanging="283"/>
      </w:pPr>
      <w:r>
        <w:rPr>
          <w:rFonts w:ascii="Times New Roman" w:hAnsi="Times New Roman"/>
          <w:sz w:val="28"/>
        </w:rPr>
        <w:t>для Functional suitability особливо важливі повнота, однозначність, перевірюваність та узгодженість;</w:t>
      </w:r>
    </w:p>
    <w:p>
      <w:pPr>
        <w:pStyle w:val="ListBullet"/>
        <w:spacing w:line="360" w:lineRule="auto"/>
        <w:ind w:left="709" w:hanging="283"/>
      </w:pPr>
      <w:r>
        <w:rPr>
          <w:rFonts w:ascii="Times New Roman" w:hAnsi="Times New Roman"/>
          <w:sz w:val="28"/>
        </w:rPr>
        <w:t>для Performance efficiency — однозначність часових обмежень, перевірюваність, повнота та трасованість;</w:t>
      </w:r>
    </w:p>
    <w:p>
      <w:pPr>
        <w:pStyle w:val="ListBullet"/>
        <w:spacing w:line="360" w:lineRule="auto"/>
        <w:ind w:left="709" w:hanging="283"/>
      </w:pPr>
      <w:r>
        <w:rPr>
          <w:rFonts w:ascii="Times New Roman" w:hAnsi="Times New Roman"/>
          <w:sz w:val="28"/>
        </w:rPr>
        <w:t>для Reliability — повнота, узгодженість, опис відмовних сценаріїв і перевірюваність;</w:t>
      </w:r>
    </w:p>
    <w:p>
      <w:pPr>
        <w:pStyle w:val="ListBullet"/>
        <w:spacing w:line="360" w:lineRule="auto"/>
        <w:ind w:left="709" w:hanging="283"/>
      </w:pPr>
      <w:r>
        <w:rPr>
          <w:rFonts w:ascii="Times New Roman" w:hAnsi="Times New Roman"/>
          <w:sz w:val="28"/>
        </w:rPr>
        <w:t>для Security — конкретність безпекових вимог, перевірюваність, трасованість та узгодженість;</w:t>
      </w:r>
    </w:p>
    <w:p>
      <w:pPr>
        <w:pStyle w:val="ListBullet"/>
        <w:spacing w:line="360" w:lineRule="auto"/>
        <w:ind w:left="709" w:hanging="283"/>
      </w:pPr>
      <w:r>
        <w:rPr>
          <w:rFonts w:ascii="Times New Roman" w:hAnsi="Times New Roman"/>
          <w:sz w:val="28"/>
        </w:rPr>
        <w:t>для Maintainability — трасованість, узгодженість, повнота та однозначність.</w:t>
      </w:r>
    </w:p>
    <w:p>
      <w:pPr>
        <w:spacing w:line="276" w:lineRule="auto"/>
        <w:ind w:firstLine="0"/>
        <w:jc w:val="center"/>
      </w:pPr>
      <w:r>
        <w:rPr>
          <w:rFonts w:ascii="Cambria Math" w:hAnsi="Cambria Math"/>
          <w:sz w:val="24"/>
        </w:rPr>
        <w:t>Xⱼ = (x₁ⱼ, x₂ⱼ, …, xₖⱼ)</w:t>
      </w:r>
    </w:p>
    <w:p>
      <w:r>
        <w:t>Таке розділення є принциповим: наприклад, нечітке формулювання часу відповіді безпосередньо впливає на можливість прогнозувати Performance efficiency, тоді як відсутній fallback для GPS-провайдера сильніше впливає на Reliability.</w:t>
      </w:r>
    </w:p>
    <w:p>
      <w:pPr>
        <w:pStyle w:val="Heading1"/>
      </w:pPr>
      <w:r>
        <w:t>5. Демонстраційний прогноз продуктової якості</w:t>
      </w:r>
    </w:p>
    <w:p>
      <w:r>
        <w:t>Як базову прогнозну модель використаємо логістичну функцію. Вона зручна тим, що перетворює лінійну комбінацію ознак у значення від 0 до 1:</w:t>
      </w:r>
    </w:p>
    <w:p>
      <w:pPr>
        <w:spacing w:line="276" w:lineRule="auto"/>
        <w:ind w:firstLine="0"/>
        <w:jc w:val="center"/>
      </w:pPr>
      <w:r>
        <w:rPr>
          <w:rFonts w:ascii="Cambria Math" w:hAnsi="Cambria Math"/>
          <w:sz w:val="24"/>
        </w:rPr>
        <w:t>ŷⱼ = σ(β₀ⱼ + Σ βₖⱼ xₖⱼ),     σ(z) = 1 / (1 + e⁻ᶻ).</w:t>
      </w:r>
    </w:p>
    <w:p>
      <w:r>
        <w:t>Коефіцієнти β у цьому прикладі є демонстраційними. У дисертаційному експерименті вони мають оцінюватися за історичними або спеціально зібраними даними з контролем перенавчання, статистичної похибки та здатності моделі узагальнюватися на нові проєкти.</w:t>
      </w:r>
    </w:p>
    <w:tbl>
      <w:tblPr>
        <w:tblStyle w:val="TableGrid"/>
        <w:tblW w:type="auto" w:w="0"/>
        <w:jc w:val="center"/>
        <w:tblLayout w:type="fixed"/>
        <w:tblLook w:firstColumn="1" w:firstRow="1" w:lastColumn="0" w:lastRow="0" w:noHBand="0" w:noVBand="1" w:val="04A0"/>
      </w:tblPr>
      <w:tblGrid>
        <w:gridCol w:w="3230"/>
        <w:gridCol w:w="3230"/>
        <w:gridCol w:w="3230"/>
      </w:tblGrid>
      <w:tr>
        <w:trPr>
          <w:tblHeader w:val="true"/>
        </w:trPr>
        <w:tc>
          <w:tcPr>
            <w:tcW w:type="dxa" w:w="2381"/>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18"/>
              </w:rPr>
              <w:t>Характеристика</w:t>
            </w:r>
          </w:p>
        </w:tc>
        <w:tc>
          <w:tcPr>
            <w:tcW w:type="dxa" w:w="1020"/>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18"/>
              </w:rPr>
              <w:t>β₀</w:t>
            </w:r>
          </w:p>
        </w:tc>
        <w:tc>
          <w:tcPr>
            <w:tcW w:type="dxa" w:w="5216"/>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18"/>
              </w:rPr>
              <w:t>Демонстраційна лінійна частина</w:t>
            </w:r>
          </w:p>
        </w:tc>
      </w:tr>
      <w:tr>
        <w:trPr>
          <w:cantSplit/>
        </w:trPr>
        <w:tc>
          <w:tcPr>
            <w:tcW w:type="dxa" w:w="2381"/>
            <w:vAlign w:val="center"/>
            <w:tcMar>
              <w:top w:w="70" w:type="dxa"/>
              <w:start w:w="80" w:type="dxa"/>
              <w:bottom w:w="70" w:type="dxa"/>
              <w:end w:w="80" w:type="dxa"/>
            </w:tcMar>
          </w:tcPr>
          <w:p>
            <w:pPr>
              <w:spacing w:line="240" w:lineRule="auto" w:after="0"/>
              <w:ind w:firstLine="0"/>
              <w:jc w:val="left"/>
            </w:pPr>
            <w:r>
              <w:rPr>
                <w:rFonts w:ascii="Times New Roman" w:hAnsi="Times New Roman"/>
                <w:sz w:val="18"/>
              </w:rPr>
              <w:t>Functional suitability</w:t>
            </w:r>
          </w:p>
        </w:tc>
        <w:tc>
          <w:tcPr>
            <w:tcW w:type="dxa" w:w="1020"/>
            <w:vAlign w:val="center"/>
            <w:tcMar>
              <w:top w:w="70" w:type="dxa"/>
              <w:start w:w="80" w:type="dxa"/>
              <w:bottom w:w="70" w:type="dxa"/>
              <w:end w:w="80" w:type="dxa"/>
            </w:tcMar>
          </w:tcPr>
          <w:p>
            <w:pPr>
              <w:spacing w:line="240" w:lineRule="auto" w:after="0"/>
              <w:ind w:firstLine="0"/>
              <w:jc w:val="center"/>
            </w:pPr>
            <w:r>
              <w:rPr>
                <w:rFonts w:ascii="Times New Roman" w:hAnsi="Times New Roman"/>
                <w:sz w:val="18"/>
              </w:rPr>
              <w:t>−1,05</w:t>
            </w:r>
          </w:p>
        </w:tc>
        <w:tc>
          <w:tcPr>
            <w:tcW w:type="dxa" w:w="5216"/>
            <w:vAlign w:val="center"/>
            <w:tcMar>
              <w:top w:w="70" w:type="dxa"/>
              <w:start w:w="80" w:type="dxa"/>
              <w:bottom w:w="70" w:type="dxa"/>
              <w:end w:w="80" w:type="dxa"/>
            </w:tcMar>
          </w:tcPr>
          <w:p>
            <w:pPr>
              <w:spacing w:line="240" w:lineRule="auto" w:after="0"/>
              <w:ind w:firstLine="0"/>
              <w:jc w:val="center"/>
            </w:pPr>
            <w:r>
              <w:rPr>
                <w:rFonts w:ascii="Times New Roman" w:hAnsi="Times New Roman"/>
                <w:sz w:val="18"/>
              </w:rPr>
              <w:t>1,05·повнота + 0,65·однозначність + 0,90·перевірюваність + 0,75·узгодженість</w:t>
            </w:r>
          </w:p>
        </w:tc>
      </w:tr>
      <w:tr>
        <w:trPr>
          <w:cantSplit/>
        </w:trPr>
        <w:tc>
          <w:tcPr>
            <w:tcW w:type="dxa" w:w="2381"/>
            <w:vAlign w:val="center"/>
            <w:tcMar>
              <w:top w:w="70" w:type="dxa"/>
              <w:start w:w="80" w:type="dxa"/>
              <w:bottom w:w="70" w:type="dxa"/>
              <w:end w:w="80" w:type="dxa"/>
            </w:tcMar>
          </w:tcPr>
          <w:p>
            <w:pPr>
              <w:spacing w:line="240" w:lineRule="auto" w:after="0"/>
              <w:ind w:firstLine="0"/>
              <w:jc w:val="left"/>
            </w:pPr>
            <w:r>
              <w:rPr>
                <w:rFonts w:ascii="Times New Roman" w:hAnsi="Times New Roman"/>
                <w:sz w:val="18"/>
              </w:rPr>
              <w:t>Performance efficiency</w:t>
            </w:r>
          </w:p>
        </w:tc>
        <w:tc>
          <w:tcPr>
            <w:tcW w:type="dxa" w:w="1020"/>
            <w:vAlign w:val="center"/>
            <w:tcMar>
              <w:top w:w="70" w:type="dxa"/>
              <w:start w:w="80" w:type="dxa"/>
              <w:bottom w:w="70" w:type="dxa"/>
              <w:end w:w="80" w:type="dxa"/>
            </w:tcMar>
          </w:tcPr>
          <w:p>
            <w:pPr>
              <w:spacing w:line="240" w:lineRule="auto" w:after="0"/>
              <w:ind w:firstLine="0"/>
              <w:jc w:val="center"/>
            </w:pPr>
            <w:r>
              <w:rPr>
                <w:rFonts w:ascii="Times New Roman" w:hAnsi="Times New Roman"/>
                <w:sz w:val="18"/>
              </w:rPr>
              <w:t>−1,15</w:t>
            </w:r>
          </w:p>
        </w:tc>
        <w:tc>
          <w:tcPr>
            <w:tcW w:type="dxa" w:w="5216"/>
            <w:vAlign w:val="center"/>
            <w:tcMar>
              <w:top w:w="70" w:type="dxa"/>
              <w:start w:w="80" w:type="dxa"/>
              <w:bottom w:w="70" w:type="dxa"/>
              <w:end w:w="80" w:type="dxa"/>
            </w:tcMar>
          </w:tcPr>
          <w:p>
            <w:pPr>
              <w:spacing w:line="240" w:lineRule="auto" w:after="0"/>
              <w:ind w:firstLine="0"/>
              <w:jc w:val="center"/>
            </w:pPr>
            <w:r>
              <w:rPr>
                <w:rFonts w:ascii="Times New Roman" w:hAnsi="Times New Roman"/>
                <w:sz w:val="18"/>
              </w:rPr>
              <w:t>0,65·однозначність + 1,10·перевірюваність + 0,55·повнота + 0,45·трасованість</w:t>
            </w:r>
          </w:p>
        </w:tc>
      </w:tr>
      <w:tr>
        <w:trPr>
          <w:cantSplit/>
        </w:trPr>
        <w:tc>
          <w:tcPr>
            <w:tcW w:type="dxa" w:w="2381"/>
            <w:vAlign w:val="center"/>
            <w:tcMar>
              <w:top w:w="70" w:type="dxa"/>
              <w:start w:w="80" w:type="dxa"/>
              <w:bottom w:w="70" w:type="dxa"/>
              <w:end w:w="80" w:type="dxa"/>
            </w:tcMar>
          </w:tcPr>
          <w:p>
            <w:pPr>
              <w:spacing w:line="240" w:lineRule="auto" w:after="0"/>
              <w:ind w:firstLine="0"/>
              <w:jc w:val="left"/>
            </w:pPr>
            <w:r>
              <w:rPr>
                <w:rFonts w:ascii="Times New Roman" w:hAnsi="Times New Roman"/>
                <w:sz w:val="18"/>
              </w:rPr>
              <w:t>Reliability</w:t>
            </w:r>
          </w:p>
        </w:tc>
        <w:tc>
          <w:tcPr>
            <w:tcW w:type="dxa" w:w="1020"/>
            <w:vAlign w:val="center"/>
            <w:tcMar>
              <w:top w:w="70" w:type="dxa"/>
              <w:start w:w="80" w:type="dxa"/>
              <w:bottom w:w="70" w:type="dxa"/>
              <w:end w:w="80" w:type="dxa"/>
            </w:tcMar>
          </w:tcPr>
          <w:p>
            <w:pPr>
              <w:spacing w:line="240" w:lineRule="auto" w:after="0"/>
              <w:ind w:firstLine="0"/>
              <w:jc w:val="center"/>
            </w:pPr>
            <w:r>
              <w:rPr>
                <w:rFonts w:ascii="Times New Roman" w:hAnsi="Times New Roman"/>
                <w:sz w:val="18"/>
              </w:rPr>
              <w:t>−1,25</w:t>
            </w:r>
          </w:p>
        </w:tc>
        <w:tc>
          <w:tcPr>
            <w:tcW w:type="dxa" w:w="5216"/>
            <w:vAlign w:val="center"/>
            <w:tcMar>
              <w:top w:w="70" w:type="dxa"/>
              <w:start w:w="80" w:type="dxa"/>
              <w:bottom w:w="70" w:type="dxa"/>
              <w:end w:w="80" w:type="dxa"/>
            </w:tcMar>
          </w:tcPr>
          <w:p>
            <w:pPr>
              <w:spacing w:line="240" w:lineRule="auto" w:after="0"/>
              <w:ind w:firstLine="0"/>
              <w:jc w:val="center"/>
            </w:pPr>
            <w:r>
              <w:rPr>
                <w:rFonts w:ascii="Times New Roman" w:hAnsi="Times New Roman"/>
                <w:sz w:val="18"/>
              </w:rPr>
              <w:t>0,75·повнота + 0,75·узгодженість + 1,15·відмовні сценарії + 0,80·перевірюваність</w:t>
            </w:r>
          </w:p>
        </w:tc>
      </w:tr>
      <w:tr>
        <w:trPr>
          <w:cantSplit/>
        </w:trPr>
        <w:tc>
          <w:tcPr>
            <w:tcW w:type="dxa" w:w="2381"/>
            <w:vAlign w:val="center"/>
            <w:tcMar>
              <w:top w:w="70" w:type="dxa"/>
              <w:start w:w="80" w:type="dxa"/>
              <w:bottom w:w="70" w:type="dxa"/>
              <w:end w:w="80" w:type="dxa"/>
            </w:tcMar>
          </w:tcPr>
          <w:p>
            <w:pPr>
              <w:spacing w:line="240" w:lineRule="auto" w:after="0"/>
              <w:ind w:firstLine="0"/>
              <w:jc w:val="left"/>
            </w:pPr>
            <w:r>
              <w:rPr>
                <w:rFonts w:ascii="Times New Roman" w:hAnsi="Times New Roman"/>
                <w:sz w:val="18"/>
              </w:rPr>
              <w:t>Security</w:t>
            </w:r>
          </w:p>
        </w:tc>
        <w:tc>
          <w:tcPr>
            <w:tcW w:type="dxa" w:w="1020"/>
            <w:vAlign w:val="center"/>
            <w:tcMar>
              <w:top w:w="70" w:type="dxa"/>
              <w:start w:w="80" w:type="dxa"/>
              <w:bottom w:w="70" w:type="dxa"/>
              <w:end w:w="80" w:type="dxa"/>
            </w:tcMar>
          </w:tcPr>
          <w:p>
            <w:pPr>
              <w:spacing w:line="240" w:lineRule="auto" w:after="0"/>
              <w:ind w:firstLine="0"/>
              <w:jc w:val="center"/>
            </w:pPr>
            <w:r>
              <w:rPr>
                <w:rFonts w:ascii="Times New Roman" w:hAnsi="Times New Roman"/>
                <w:sz w:val="18"/>
              </w:rPr>
              <w:t>−1,35</w:t>
            </w:r>
          </w:p>
        </w:tc>
        <w:tc>
          <w:tcPr>
            <w:tcW w:type="dxa" w:w="5216"/>
            <w:vAlign w:val="center"/>
            <w:tcMar>
              <w:top w:w="70" w:type="dxa"/>
              <w:start w:w="80" w:type="dxa"/>
              <w:bottom w:w="70" w:type="dxa"/>
              <w:end w:w="80" w:type="dxa"/>
            </w:tcMar>
          </w:tcPr>
          <w:p>
            <w:pPr>
              <w:spacing w:line="240" w:lineRule="auto" w:after="0"/>
              <w:ind w:firstLine="0"/>
              <w:jc w:val="center"/>
            </w:pPr>
            <w:r>
              <w:rPr>
                <w:rFonts w:ascii="Times New Roman" w:hAnsi="Times New Roman"/>
                <w:sz w:val="18"/>
              </w:rPr>
              <w:t>1,30·безпекова конкретність + 0,75·перевірюваність + 0,70·трасованість + 0,55·узгодженість</w:t>
            </w:r>
          </w:p>
        </w:tc>
      </w:tr>
      <w:tr>
        <w:trPr>
          <w:cantSplit/>
        </w:trPr>
        <w:tc>
          <w:tcPr>
            <w:tcW w:type="dxa" w:w="2381"/>
            <w:vAlign w:val="center"/>
            <w:tcMar>
              <w:top w:w="70" w:type="dxa"/>
              <w:start w:w="80" w:type="dxa"/>
              <w:bottom w:w="70" w:type="dxa"/>
              <w:end w:w="80" w:type="dxa"/>
            </w:tcMar>
          </w:tcPr>
          <w:p>
            <w:pPr>
              <w:spacing w:line="240" w:lineRule="auto" w:after="0"/>
              <w:ind w:firstLine="0"/>
              <w:jc w:val="left"/>
            </w:pPr>
            <w:r>
              <w:rPr>
                <w:rFonts w:ascii="Times New Roman" w:hAnsi="Times New Roman"/>
                <w:sz w:val="18"/>
              </w:rPr>
              <w:t>Maintainability</w:t>
            </w:r>
          </w:p>
        </w:tc>
        <w:tc>
          <w:tcPr>
            <w:tcW w:type="dxa" w:w="1020"/>
            <w:vAlign w:val="center"/>
            <w:tcMar>
              <w:top w:w="70" w:type="dxa"/>
              <w:start w:w="80" w:type="dxa"/>
              <w:bottom w:w="70" w:type="dxa"/>
              <w:end w:w="80" w:type="dxa"/>
            </w:tcMar>
          </w:tcPr>
          <w:p>
            <w:pPr>
              <w:spacing w:line="240" w:lineRule="auto" w:after="0"/>
              <w:ind w:firstLine="0"/>
              <w:jc w:val="center"/>
            </w:pPr>
            <w:r>
              <w:rPr>
                <w:rFonts w:ascii="Times New Roman" w:hAnsi="Times New Roman"/>
                <w:sz w:val="18"/>
              </w:rPr>
              <w:t>−1,00</w:t>
            </w:r>
          </w:p>
        </w:tc>
        <w:tc>
          <w:tcPr>
            <w:tcW w:type="dxa" w:w="5216"/>
            <w:vAlign w:val="center"/>
            <w:tcMar>
              <w:top w:w="70" w:type="dxa"/>
              <w:start w:w="80" w:type="dxa"/>
              <w:bottom w:w="70" w:type="dxa"/>
              <w:end w:w="80" w:type="dxa"/>
            </w:tcMar>
          </w:tcPr>
          <w:p>
            <w:pPr>
              <w:spacing w:line="240" w:lineRule="auto" w:after="0"/>
              <w:ind w:firstLine="0"/>
              <w:jc w:val="center"/>
            </w:pPr>
            <w:r>
              <w:rPr>
                <w:rFonts w:ascii="Times New Roman" w:hAnsi="Times New Roman"/>
                <w:sz w:val="18"/>
              </w:rPr>
              <w:t>1,05·трасованість + 0,80·узгодженість + 0,65·повнота + 0,50·однозначність</w:t>
            </w:r>
          </w:p>
        </w:tc>
      </w:tr>
    </w:tbl>
    <w:p>
      <w:pPr>
        <w:spacing w:after="0"/>
      </w:pPr>
    </w:p>
    <w:p>
      <w:pPr>
        <w:pStyle w:val="Heading2"/>
      </w:pPr>
      <w:r>
        <w:t>5.1. Детальне обчислення для Reliability</w:t>
      </w:r>
    </w:p>
    <w:p>
      <w:r>
        <w:t>Для Reliability використаємо чотири початкові метрики: повнота = 0,58; узгодженість = 0,68; опрацьованість відмовних сценаріїв = 0,45; перевірюваність = 0,49. Тоді лінійний предиктор становить:</w:t>
      </w:r>
    </w:p>
    <w:p>
      <w:pPr>
        <w:spacing w:line="276" w:lineRule="auto"/>
        <w:ind w:firstLine="0"/>
        <w:jc w:val="center"/>
      </w:pPr>
      <w:r>
        <w:rPr>
          <w:rFonts w:ascii="Cambria Math" w:hAnsi="Cambria Math"/>
          <w:sz w:val="24"/>
        </w:rPr>
        <w:t>zrel = −1,25 + 0,75·0,58 + 0,75·0,68 + 1,15·0,45 + 0,80·0,49 = 0,6045.</w:t>
      </w:r>
    </w:p>
    <w:p>
      <w:pPr>
        <w:spacing w:line="276" w:lineRule="auto"/>
        <w:ind w:firstLine="0"/>
        <w:jc w:val="center"/>
      </w:pPr>
      <w:r>
        <w:rPr>
          <w:rFonts w:ascii="Cambria Math" w:hAnsi="Cambria Math"/>
          <w:sz w:val="24"/>
        </w:rPr>
        <w:t>ŷrel = 1 / (1 + e⁻⁰·⁶⁰⁴⁵) ≈ 0,647.</w:t>
      </w:r>
    </w:p>
    <w:p>
      <w:r>
        <w:t>Отримане значення 0,647 не означає, що майбутній продукт «на 64,7 % надійний». Це рання оцінка, сформована лише з доступних на стадії вимог ознак. Її зміст полягає у порівнянні альтернативних станів специфікації та у виявленні характеристик, для яких уже на ранній стадії спостерігаються ознаки підвищеного ризику.</w:t>
      </w:r>
    </w:p>
    <w:tbl>
      <w:tblPr>
        <w:tblStyle w:val="TableGrid"/>
        <w:tblW w:type="auto" w:w="0"/>
        <w:jc w:val="center"/>
        <w:tblLayout w:type="fixed"/>
        <w:tblLook w:firstColumn="1" w:firstRow="1" w:lastColumn="0" w:lastRow="0" w:noHBand="0" w:noVBand="1" w:val="04A0"/>
      </w:tblPr>
      <w:tblGrid>
        <w:gridCol w:w="4844"/>
        <w:gridCol w:w="4844"/>
      </w:tblGrid>
      <w:tr>
        <w:trPr>
          <w:tblHeader w:val="true"/>
        </w:trPr>
        <w:tc>
          <w:tcPr>
            <w:tcW w:type="dxa" w:w="5102"/>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21"/>
              </w:rPr>
              <w:t>Характеристика якості</w:t>
            </w:r>
          </w:p>
        </w:tc>
        <w:tc>
          <w:tcPr>
            <w:tcW w:type="dxa" w:w="2268"/>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21"/>
              </w:rPr>
              <w:t>Початковий прогноз ŷⱼ</w:t>
            </w:r>
          </w:p>
        </w:tc>
      </w:tr>
      <w:tr>
        <w:trPr>
          <w:cantSplit/>
        </w:trPr>
        <w:tc>
          <w:tcPr>
            <w:tcW w:type="dxa" w:w="5102"/>
            <w:vAlign w:val="center"/>
            <w:tcMar>
              <w:top w:w="70" w:type="dxa"/>
              <w:start w:w="80" w:type="dxa"/>
              <w:bottom w:w="70" w:type="dxa"/>
              <w:end w:w="80" w:type="dxa"/>
            </w:tcMar>
          </w:tcPr>
          <w:p>
            <w:pPr>
              <w:spacing w:line="240" w:lineRule="auto" w:after="0"/>
              <w:ind w:firstLine="0"/>
              <w:jc w:val="left"/>
            </w:pPr>
            <w:r>
              <w:rPr>
                <w:rFonts w:ascii="Times New Roman" w:hAnsi="Times New Roman"/>
                <w:sz w:val="21"/>
              </w:rPr>
              <w:t>Functional suitability</w:t>
            </w:r>
          </w:p>
        </w:tc>
        <w:tc>
          <w:tcPr>
            <w:tcW w:type="dxa" w:w="2268"/>
            <w:vAlign w:val="center"/>
            <w:tcMar>
              <w:top w:w="70" w:type="dxa"/>
              <w:start w:w="80" w:type="dxa"/>
              <w:bottom w:w="70" w:type="dxa"/>
              <w:end w:w="80" w:type="dxa"/>
            </w:tcMar>
          </w:tcPr>
          <w:p>
            <w:pPr>
              <w:spacing w:line="240" w:lineRule="auto" w:after="0"/>
              <w:ind w:firstLine="0"/>
              <w:jc w:val="center"/>
            </w:pPr>
            <w:r>
              <w:rPr>
                <w:rFonts w:ascii="Times New Roman" w:hAnsi="Times New Roman"/>
                <w:sz w:val="21"/>
              </w:rPr>
              <w:t>0,704</w:t>
            </w:r>
          </w:p>
        </w:tc>
      </w:tr>
      <w:tr>
        <w:trPr>
          <w:cantSplit/>
        </w:trPr>
        <w:tc>
          <w:tcPr>
            <w:tcW w:type="dxa" w:w="5102"/>
            <w:vAlign w:val="center"/>
            <w:tcMar>
              <w:top w:w="70" w:type="dxa"/>
              <w:start w:w="80" w:type="dxa"/>
              <w:bottom w:w="70" w:type="dxa"/>
              <w:end w:w="80" w:type="dxa"/>
            </w:tcMar>
          </w:tcPr>
          <w:p>
            <w:pPr>
              <w:spacing w:line="240" w:lineRule="auto" w:after="0"/>
              <w:ind w:firstLine="0"/>
              <w:jc w:val="left"/>
            </w:pPr>
            <w:r>
              <w:rPr>
                <w:rFonts w:ascii="Times New Roman" w:hAnsi="Times New Roman"/>
                <w:sz w:val="21"/>
              </w:rPr>
              <w:t>Performance efficiency</w:t>
            </w:r>
          </w:p>
        </w:tc>
        <w:tc>
          <w:tcPr>
            <w:tcW w:type="dxa" w:w="2268"/>
            <w:vAlign w:val="center"/>
            <w:tcMar>
              <w:top w:w="70" w:type="dxa"/>
              <w:start w:w="80" w:type="dxa"/>
              <w:bottom w:w="70" w:type="dxa"/>
              <w:end w:w="80" w:type="dxa"/>
            </w:tcMar>
          </w:tcPr>
          <w:p>
            <w:pPr>
              <w:spacing w:line="240" w:lineRule="auto" w:after="0"/>
              <w:ind w:firstLine="0"/>
              <w:jc w:val="center"/>
            </w:pPr>
            <w:r>
              <w:rPr>
                <w:rFonts w:ascii="Times New Roman" w:hAnsi="Times New Roman"/>
                <w:sz w:val="21"/>
              </w:rPr>
              <w:t>0,580</w:t>
            </w:r>
          </w:p>
        </w:tc>
      </w:tr>
      <w:tr>
        <w:trPr>
          <w:cantSplit/>
        </w:trPr>
        <w:tc>
          <w:tcPr>
            <w:tcW w:type="dxa" w:w="5102"/>
            <w:vAlign w:val="center"/>
            <w:tcMar>
              <w:top w:w="70" w:type="dxa"/>
              <w:start w:w="80" w:type="dxa"/>
              <w:bottom w:w="70" w:type="dxa"/>
              <w:end w:w="80" w:type="dxa"/>
            </w:tcMar>
          </w:tcPr>
          <w:p>
            <w:pPr>
              <w:spacing w:line="240" w:lineRule="auto" w:after="0"/>
              <w:ind w:firstLine="0"/>
              <w:jc w:val="left"/>
            </w:pPr>
            <w:r>
              <w:rPr>
                <w:rFonts w:ascii="Times New Roman" w:hAnsi="Times New Roman"/>
                <w:sz w:val="21"/>
              </w:rPr>
              <w:t>Reliability</w:t>
            </w:r>
          </w:p>
        </w:tc>
        <w:tc>
          <w:tcPr>
            <w:tcW w:type="dxa" w:w="2268"/>
            <w:vAlign w:val="center"/>
            <w:tcMar>
              <w:top w:w="70" w:type="dxa"/>
              <w:start w:w="80" w:type="dxa"/>
              <w:bottom w:w="70" w:type="dxa"/>
              <w:end w:w="80" w:type="dxa"/>
            </w:tcMar>
          </w:tcPr>
          <w:p>
            <w:pPr>
              <w:spacing w:line="240" w:lineRule="auto" w:after="0"/>
              <w:ind w:firstLine="0"/>
              <w:jc w:val="center"/>
            </w:pPr>
            <w:r>
              <w:rPr>
                <w:rFonts w:ascii="Times New Roman" w:hAnsi="Times New Roman"/>
                <w:sz w:val="21"/>
              </w:rPr>
              <w:t>0,647</w:t>
            </w:r>
          </w:p>
        </w:tc>
      </w:tr>
      <w:tr>
        <w:trPr>
          <w:cantSplit/>
        </w:trPr>
        <w:tc>
          <w:tcPr>
            <w:tcW w:type="dxa" w:w="5102"/>
            <w:vAlign w:val="center"/>
            <w:tcMar>
              <w:top w:w="70" w:type="dxa"/>
              <w:start w:w="80" w:type="dxa"/>
              <w:bottom w:w="70" w:type="dxa"/>
              <w:end w:w="80" w:type="dxa"/>
            </w:tcMar>
          </w:tcPr>
          <w:p>
            <w:pPr>
              <w:spacing w:line="240" w:lineRule="auto" w:after="0"/>
              <w:ind w:firstLine="0"/>
              <w:jc w:val="left"/>
            </w:pPr>
            <w:r>
              <w:rPr>
                <w:rFonts w:ascii="Times New Roman" w:hAnsi="Times New Roman"/>
                <w:sz w:val="21"/>
              </w:rPr>
              <w:t>Security</w:t>
            </w:r>
          </w:p>
        </w:tc>
        <w:tc>
          <w:tcPr>
            <w:tcW w:type="dxa" w:w="2268"/>
            <w:vAlign w:val="center"/>
            <w:tcMar>
              <w:top w:w="70" w:type="dxa"/>
              <w:start w:w="80" w:type="dxa"/>
              <w:bottom w:w="70" w:type="dxa"/>
              <w:end w:w="80" w:type="dxa"/>
            </w:tcMar>
          </w:tcPr>
          <w:p>
            <w:pPr>
              <w:spacing w:line="240" w:lineRule="auto" w:after="0"/>
              <w:ind w:firstLine="0"/>
              <w:jc w:val="center"/>
            </w:pPr>
            <w:r>
              <w:rPr>
                <w:rFonts w:ascii="Times New Roman" w:hAnsi="Times New Roman"/>
                <w:sz w:val="21"/>
              </w:rPr>
              <w:t>0,615</w:t>
            </w:r>
          </w:p>
        </w:tc>
      </w:tr>
      <w:tr>
        <w:trPr>
          <w:cantSplit/>
        </w:trPr>
        <w:tc>
          <w:tcPr>
            <w:tcW w:type="dxa" w:w="5102"/>
            <w:vAlign w:val="center"/>
            <w:tcMar>
              <w:top w:w="70" w:type="dxa"/>
              <w:start w:w="80" w:type="dxa"/>
              <w:bottom w:w="70" w:type="dxa"/>
              <w:end w:w="80" w:type="dxa"/>
            </w:tcMar>
          </w:tcPr>
          <w:p>
            <w:pPr>
              <w:spacing w:line="240" w:lineRule="auto" w:after="0"/>
              <w:ind w:firstLine="0"/>
              <w:jc w:val="left"/>
            </w:pPr>
            <w:r>
              <w:rPr>
                <w:rFonts w:ascii="Times New Roman" w:hAnsi="Times New Roman"/>
                <w:sz w:val="21"/>
              </w:rPr>
              <w:t>Maintainability</w:t>
            </w:r>
          </w:p>
        </w:tc>
        <w:tc>
          <w:tcPr>
            <w:tcW w:type="dxa" w:w="2268"/>
            <w:vAlign w:val="center"/>
            <w:tcMar>
              <w:top w:w="70" w:type="dxa"/>
              <w:start w:w="80" w:type="dxa"/>
              <w:bottom w:w="70" w:type="dxa"/>
              <w:end w:w="80" w:type="dxa"/>
            </w:tcMar>
          </w:tcPr>
          <w:p>
            <w:pPr>
              <w:spacing w:line="240" w:lineRule="auto" w:after="0"/>
              <w:ind w:firstLine="0"/>
              <w:jc w:val="center"/>
            </w:pPr>
            <w:r>
              <w:rPr>
                <w:rFonts w:ascii="Times New Roman" w:hAnsi="Times New Roman"/>
                <w:sz w:val="21"/>
              </w:rPr>
              <w:t>0,689</w:t>
            </w:r>
          </w:p>
        </w:tc>
      </w:tr>
    </w:tbl>
    <w:p>
      <w:pPr>
        <w:spacing w:after="0"/>
      </w:pPr>
    </w:p>
    <w:p>
      <w:pPr>
        <w:pStyle w:val="Heading1"/>
      </w:pPr>
      <w:r>
        <w:t>6. Інтегральна оцінка з урахуванням контексту проєкту</w:t>
      </w:r>
    </w:p>
    <w:p>
      <w:r>
        <w:t>Для узагальненого огляду можна розрахувати інтегральний показник, однак його не слід використовувати як заміну окремим характеристикам. У логістичній SaaS-платформі особливо важливими є Reliability і Security, тому їм надано більші ваги.</w:t>
      </w:r>
    </w:p>
    <w:tbl>
      <w:tblPr>
        <w:tblStyle w:val="TableGrid"/>
        <w:tblW w:type="auto" w:w="0"/>
        <w:jc w:val="center"/>
        <w:tblLayout w:type="fixed"/>
        <w:tblLook w:firstColumn="1" w:firstRow="1" w:lastColumn="0" w:lastRow="0" w:noHBand="0" w:noVBand="1" w:val="04A0"/>
      </w:tblPr>
      <w:tblGrid>
        <w:gridCol w:w="4844"/>
        <w:gridCol w:w="4844"/>
      </w:tblGrid>
      <w:tr>
        <w:trPr>
          <w:tblHeader w:val="true"/>
        </w:trPr>
        <w:tc>
          <w:tcPr>
            <w:tcW w:type="dxa" w:w="5102"/>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21"/>
              </w:rPr>
              <w:t>Характеристика</w:t>
            </w:r>
          </w:p>
        </w:tc>
        <w:tc>
          <w:tcPr>
            <w:tcW w:type="dxa" w:w="2268"/>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21"/>
              </w:rPr>
              <w:t>Вага αⱼ</w:t>
            </w:r>
          </w:p>
        </w:tc>
      </w:tr>
      <w:tr>
        <w:trPr>
          <w:cantSplit/>
        </w:trPr>
        <w:tc>
          <w:tcPr>
            <w:tcW w:type="dxa" w:w="5102"/>
            <w:vAlign w:val="center"/>
            <w:tcMar>
              <w:top w:w="70" w:type="dxa"/>
              <w:start w:w="80" w:type="dxa"/>
              <w:bottom w:w="70" w:type="dxa"/>
              <w:end w:w="80" w:type="dxa"/>
            </w:tcMar>
          </w:tcPr>
          <w:p>
            <w:pPr>
              <w:spacing w:line="240" w:lineRule="auto" w:after="0"/>
              <w:ind w:firstLine="0"/>
              <w:jc w:val="left"/>
            </w:pPr>
            <w:r>
              <w:rPr>
                <w:rFonts w:ascii="Times New Roman" w:hAnsi="Times New Roman"/>
                <w:sz w:val="21"/>
              </w:rPr>
              <w:t>Functional suitability</w:t>
            </w:r>
          </w:p>
        </w:tc>
        <w:tc>
          <w:tcPr>
            <w:tcW w:type="dxa" w:w="2268"/>
            <w:vAlign w:val="center"/>
            <w:tcMar>
              <w:top w:w="70" w:type="dxa"/>
              <w:start w:w="80" w:type="dxa"/>
              <w:bottom w:w="70" w:type="dxa"/>
              <w:end w:w="80" w:type="dxa"/>
            </w:tcMar>
          </w:tcPr>
          <w:p>
            <w:pPr>
              <w:spacing w:line="240" w:lineRule="auto" w:after="0"/>
              <w:ind w:firstLine="0"/>
              <w:jc w:val="center"/>
            </w:pPr>
            <w:r>
              <w:rPr>
                <w:rFonts w:ascii="Times New Roman" w:hAnsi="Times New Roman"/>
                <w:sz w:val="21"/>
              </w:rPr>
              <w:t>0,20</w:t>
            </w:r>
          </w:p>
        </w:tc>
      </w:tr>
      <w:tr>
        <w:trPr>
          <w:cantSplit/>
        </w:trPr>
        <w:tc>
          <w:tcPr>
            <w:tcW w:type="dxa" w:w="5102"/>
            <w:vAlign w:val="center"/>
            <w:tcMar>
              <w:top w:w="70" w:type="dxa"/>
              <w:start w:w="80" w:type="dxa"/>
              <w:bottom w:w="70" w:type="dxa"/>
              <w:end w:w="80" w:type="dxa"/>
            </w:tcMar>
          </w:tcPr>
          <w:p>
            <w:pPr>
              <w:spacing w:line="240" w:lineRule="auto" w:after="0"/>
              <w:ind w:firstLine="0"/>
              <w:jc w:val="left"/>
            </w:pPr>
            <w:r>
              <w:rPr>
                <w:rFonts w:ascii="Times New Roman" w:hAnsi="Times New Roman"/>
                <w:sz w:val="21"/>
              </w:rPr>
              <w:t>Performance efficiency</w:t>
            </w:r>
          </w:p>
        </w:tc>
        <w:tc>
          <w:tcPr>
            <w:tcW w:type="dxa" w:w="2268"/>
            <w:vAlign w:val="center"/>
            <w:tcMar>
              <w:top w:w="70" w:type="dxa"/>
              <w:start w:w="80" w:type="dxa"/>
              <w:bottom w:w="70" w:type="dxa"/>
              <w:end w:w="80" w:type="dxa"/>
            </w:tcMar>
          </w:tcPr>
          <w:p>
            <w:pPr>
              <w:spacing w:line="240" w:lineRule="auto" w:after="0"/>
              <w:ind w:firstLine="0"/>
              <w:jc w:val="center"/>
            </w:pPr>
            <w:r>
              <w:rPr>
                <w:rFonts w:ascii="Times New Roman" w:hAnsi="Times New Roman"/>
                <w:sz w:val="21"/>
              </w:rPr>
              <w:t>0,20</w:t>
            </w:r>
          </w:p>
        </w:tc>
      </w:tr>
      <w:tr>
        <w:trPr>
          <w:cantSplit/>
        </w:trPr>
        <w:tc>
          <w:tcPr>
            <w:tcW w:type="dxa" w:w="5102"/>
            <w:vAlign w:val="center"/>
            <w:tcMar>
              <w:top w:w="70" w:type="dxa"/>
              <w:start w:w="80" w:type="dxa"/>
              <w:bottom w:w="70" w:type="dxa"/>
              <w:end w:w="80" w:type="dxa"/>
            </w:tcMar>
          </w:tcPr>
          <w:p>
            <w:pPr>
              <w:spacing w:line="240" w:lineRule="auto" w:after="0"/>
              <w:ind w:firstLine="0"/>
              <w:jc w:val="left"/>
            </w:pPr>
            <w:r>
              <w:rPr>
                <w:rFonts w:ascii="Times New Roman" w:hAnsi="Times New Roman"/>
                <w:sz w:val="21"/>
              </w:rPr>
              <w:t>Reliability</w:t>
            </w:r>
          </w:p>
        </w:tc>
        <w:tc>
          <w:tcPr>
            <w:tcW w:type="dxa" w:w="2268"/>
            <w:vAlign w:val="center"/>
            <w:tcMar>
              <w:top w:w="70" w:type="dxa"/>
              <w:start w:w="80" w:type="dxa"/>
              <w:bottom w:w="70" w:type="dxa"/>
              <w:end w:w="80" w:type="dxa"/>
            </w:tcMar>
          </w:tcPr>
          <w:p>
            <w:pPr>
              <w:spacing w:line="240" w:lineRule="auto" w:after="0"/>
              <w:ind w:firstLine="0"/>
              <w:jc w:val="center"/>
            </w:pPr>
            <w:r>
              <w:rPr>
                <w:rFonts w:ascii="Times New Roman" w:hAnsi="Times New Roman"/>
                <w:sz w:val="21"/>
              </w:rPr>
              <w:t>0,25</w:t>
            </w:r>
          </w:p>
        </w:tc>
      </w:tr>
      <w:tr>
        <w:trPr>
          <w:cantSplit/>
        </w:trPr>
        <w:tc>
          <w:tcPr>
            <w:tcW w:type="dxa" w:w="5102"/>
            <w:vAlign w:val="center"/>
            <w:tcMar>
              <w:top w:w="70" w:type="dxa"/>
              <w:start w:w="80" w:type="dxa"/>
              <w:bottom w:w="70" w:type="dxa"/>
              <w:end w:w="80" w:type="dxa"/>
            </w:tcMar>
          </w:tcPr>
          <w:p>
            <w:pPr>
              <w:spacing w:line="240" w:lineRule="auto" w:after="0"/>
              <w:ind w:firstLine="0"/>
              <w:jc w:val="left"/>
            </w:pPr>
            <w:r>
              <w:rPr>
                <w:rFonts w:ascii="Times New Roman" w:hAnsi="Times New Roman"/>
                <w:sz w:val="21"/>
              </w:rPr>
              <w:t>Security</w:t>
            </w:r>
          </w:p>
        </w:tc>
        <w:tc>
          <w:tcPr>
            <w:tcW w:type="dxa" w:w="2268"/>
            <w:vAlign w:val="center"/>
            <w:tcMar>
              <w:top w:w="70" w:type="dxa"/>
              <w:start w:w="80" w:type="dxa"/>
              <w:bottom w:w="70" w:type="dxa"/>
              <w:end w:w="80" w:type="dxa"/>
            </w:tcMar>
          </w:tcPr>
          <w:p>
            <w:pPr>
              <w:spacing w:line="240" w:lineRule="auto" w:after="0"/>
              <w:ind w:firstLine="0"/>
              <w:jc w:val="center"/>
            </w:pPr>
            <w:r>
              <w:rPr>
                <w:rFonts w:ascii="Times New Roman" w:hAnsi="Times New Roman"/>
                <w:sz w:val="21"/>
              </w:rPr>
              <w:t>0,25</w:t>
            </w:r>
          </w:p>
        </w:tc>
      </w:tr>
      <w:tr>
        <w:trPr>
          <w:cantSplit/>
        </w:trPr>
        <w:tc>
          <w:tcPr>
            <w:tcW w:type="dxa" w:w="5102"/>
            <w:vAlign w:val="center"/>
            <w:tcMar>
              <w:top w:w="70" w:type="dxa"/>
              <w:start w:w="80" w:type="dxa"/>
              <w:bottom w:w="70" w:type="dxa"/>
              <w:end w:w="80" w:type="dxa"/>
            </w:tcMar>
          </w:tcPr>
          <w:p>
            <w:pPr>
              <w:spacing w:line="240" w:lineRule="auto" w:after="0"/>
              <w:ind w:firstLine="0"/>
              <w:jc w:val="left"/>
            </w:pPr>
            <w:r>
              <w:rPr>
                <w:rFonts w:ascii="Times New Roman" w:hAnsi="Times New Roman"/>
                <w:sz w:val="21"/>
              </w:rPr>
              <w:t>Maintainability</w:t>
            </w:r>
          </w:p>
        </w:tc>
        <w:tc>
          <w:tcPr>
            <w:tcW w:type="dxa" w:w="2268"/>
            <w:vAlign w:val="center"/>
            <w:tcMar>
              <w:top w:w="70" w:type="dxa"/>
              <w:start w:w="80" w:type="dxa"/>
              <w:bottom w:w="70" w:type="dxa"/>
              <w:end w:w="80" w:type="dxa"/>
            </w:tcMar>
          </w:tcPr>
          <w:p>
            <w:pPr>
              <w:spacing w:line="240" w:lineRule="auto" w:after="0"/>
              <w:ind w:firstLine="0"/>
              <w:jc w:val="center"/>
            </w:pPr>
            <w:r>
              <w:rPr>
                <w:rFonts w:ascii="Times New Roman" w:hAnsi="Times New Roman"/>
                <w:sz w:val="21"/>
              </w:rPr>
              <w:t>0,10</w:t>
            </w:r>
          </w:p>
        </w:tc>
      </w:tr>
    </w:tbl>
    <w:p>
      <w:pPr>
        <w:spacing w:after="0"/>
      </w:pPr>
    </w:p>
    <w:p>
      <w:pPr>
        <w:spacing w:line="276" w:lineRule="auto"/>
        <w:ind w:firstLine="0"/>
        <w:jc w:val="center"/>
      </w:pPr>
      <w:r>
        <w:rPr>
          <w:rFonts w:ascii="Cambria Math" w:hAnsi="Cambria Math"/>
          <w:sz w:val="24"/>
        </w:rPr>
        <w:t>Qint = Σ αⱼ ŷⱼ.</w:t>
      </w:r>
    </w:p>
    <w:p>
      <w:pPr>
        <w:spacing w:line="276" w:lineRule="auto"/>
        <w:ind w:firstLine="0"/>
        <w:jc w:val="center"/>
      </w:pPr>
      <w:r>
        <w:rPr>
          <w:rFonts w:ascii="Cambria Math" w:hAnsi="Cambria Math"/>
          <w:sz w:val="24"/>
        </w:rPr>
        <w:t>Qint = 0,20·0,704 + 0,20·0,580 + 0,25·0,647 + 0,25·0,615 + 0,10·0,689 ≈ 0,641.</w:t>
      </w:r>
    </w:p>
    <w:p>
      <w:r>
        <w:t>Отже, демонстраційний інтегральний рівень становить приблизно 0,641. Водночас для критичних характеристик доцільно застосовувати некомпенсовані пороги. Наприклад, якщо для Reliability і Security встановити поріг 0,80, початкова специфікація не повинна проходити контрольну точку навіть за прийнятного середнього значення Qint.</w:t>
      </w:r>
    </w:p>
    <w:p>
      <w:pPr>
        <w:pStyle w:val="Heading1"/>
      </w:pPr>
      <w:r>
        <w:t>7. Оцінювання дефектів і локальних ризиків</w:t>
      </w:r>
    </w:p>
    <w:p>
      <w:r>
        <w:t>Наступним кроком є перехід від абстрактної оцінки якості до конкретних дефектів специфікації. Для кожного дефекту dᵢ та характеристики qⱼ розраховується локальний ризик:</w:t>
      </w:r>
    </w:p>
    <w:p>
      <w:pPr>
        <w:spacing w:line="276" w:lineRule="auto"/>
        <w:ind w:firstLine="0"/>
        <w:jc w:val="center"/>
      </w:pPr>
      <w:r>
        <w:rPr>
          <w:rFonts w:ascii="Cambria Math" w:hAnsi="Cambria Math"/>
          <w:sz w:val="24"/>
        </w:rPr>
        <w:t>rᵢⱼ = ρᵢⱼ · pᵢⱼ · Iᵢⱼ · κⱼ(C),</w:t>
      </w:r>
    </w:p>
    <w:p>
      <w:r>
        <w:t>де ρᵢⱼ — сила зв’язку дефекту з характеристикою; pᵢⱼ — імовірність прояву проблеми; Iᵢⱼ — тяжкість наслідку; κⱼ(C) — контекстний множник критичності. У реальній роботі ці параметри мають визначатися на основі статистики, експертного калібрування або комбінованого підходу.</w:t>
      </w:r>
    </w:p>
    <w:tbl>
      <w:tblPr>
        <w:tblStyle w:val="TableGrid"/>
        <w:tblW w:type="auto" w:w="0"/>
        <w:jc w:val="center"/>
        <w:tblLayout w:type="fixed"/>
        <w:tblLook w:firstColumn="1" w:firstRow="1" w:lastColumn="0" w:lastRow="0" w:noHBand="0" w:noVBand="1" w:val="04A0"/>
      </w:tblPr>
      <w:tblGrid>
        <w:gridCol w:w="1211"/>
        <w:gridCol w:w="1211"/>
        <w:gridCol w:w="1211"/>
        <w:gridCol w:w="1211"/>
        <w:gridCol w:w="1211"/>
        <w:gridCol w:w="1211"/>
        <w:gridCol w:w="1211"/>
        <w:gridCol w:w="1211"/>
      </w:tblGrid>
      <w:tr>
        <w:trPr>
          <w:tblHeader w:val="true"/>
        </w:trPr>
        <w:tc>
          <w:tcPr>
            <w:tcW w:type="dxa" w:w="454"/>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15"/>
              </w:rPr>
              <w:t>ID</w:t>
            </w:r>
          </w:p>
        </w:tc>
        <w:tc>
          <w:tcPr>
            <w:tcW w:type="dxa" w:w="2551"/>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15"/>
              </w:rPr>
              <w:t>Дефект</w:t>
            </w:r>
          </w:p>
        </w:tc>
        <w:tc>
          <w:tcPr>
            <w:tcW w:type="dxa" w:w="1871"/>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15"/>
              </w:rPr>
              <w:t>Якість</w:t>
            </w:r>
          </w:p>
        </w:tc>
        <w:tc>
          <w:tcPr>
            <w:tcW w:type="dxa" w:w="624"/>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15"/>
              </w:rPr>
              <w:t>ρ</w:t>
            </w:r>
          </w:p>
        </w:tc>
        <w:tc>
          <w:tcPr>
            <w:tcW w:type="dxa" w:w="624"/>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15"/>
              </w:rPr>
              <w:t>p</w:t>
            </w:r>
          </w:p>
        </w:tc>
        <w:tc>
          <w:tcPr>
            <w:tcW w:type="dxa" w:w="624"/>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15"/>
              </w:rPr>
              <w:t>I</w:t>
            </w:r>
          </w:p>
        </w:tc>
        <w:tc>
          <w:tcPr>
            <w:tcW w:type="dxa" w:w="624"/>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15"/>
              </w:rPr>
              <w:t>κ</w:t>
            </w:r>
          </w:p>
        </w:tc>
        <w:tc>
          <w:tcPr>
            <w:tcW w:type="dxa" w:w="737"/>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15"/>
              </w:rPr>
              <w:t>r</w:t>
            </w:r>
          </w:p>
        </w:tc>
      </w:tr>
      <w:tr>
        <w:trPr>
          <w:cantSplit/>
        </w:trPr>
        <w:tc>
          <w:tcPr>
            <w:tcW w:type="dxa" w:w="454"/>
            <w:vAlign w:val="center"/>
            <w:tcMar>
              <w:top w:w="70" w:type="dxa"/>
              <w:start w:w="80" w:type="dxa"/>
              <w:bottom w:w="70" w:type="dxa"/>
              <w:end w:w="80" w:type="dxa"/>
            </w:tcMar>
          </w:tcPr>
          <w:p>
            <w:pPr>
              <w:spacing w:line="240" w:lineRule="auto" w:after="0"/>
              <w:ind w:firstLine="0"/>
              <w:jc w:val="left"/>
            </w:pPr>
            <w:r>
              <w:rPr>
                <w:rFonts w:ascii="Times New Roman" w:hAnsi="Times New Roman"/>
                <w:sz w:val="15"/>
              </w:rPr>
              <w:t>d1</w:t>
            </w:r>
          </w:p>
        </w:tc>
        <w:tc>
          <w:tcPr>
            <w:tcW w:type="dxa" w:w="2551"/>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«у реальному часі» без числової межі</w:t>
            </w:r>
          </w:p>
        </w:tc>
        <w:tc>
          <w:tcPr>
            <w:tcW w:type="dxa" w:w="1871"/>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Performance efficiency</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0,900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0,700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0,750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0,900</w:t>
            </w:r>
          </w:p>
        </w:tc>
        <w:tc>
          <w:tcPr>
            <w:tcW w:type="dxa" w:w="737"/>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0,425</w:t>
            </w:r>
          </w:p>
        </w:tc>
      </w:tr>
      <w:tr>
        <w:trPr>
          <w:cantSplit/>
        </w:trPr>
        <w:tc>
          <w:tcPr>
            <w:tcW w:type="dxa" w:w="454"/>
            <w:vAlign w:val="center"/>
            <w:tcMar>
              <w:top w:w="70" w:type="dxa"/>
              <w:start w:w="80" w:type="dxa"/>
              <w:bottom w:w="70" w:type="dxa"/>
              <w:end w:w="80" w:type="dxa"/>
            </w:tcMar>
          </w:tcPr>
          <w:p>
            <w:pPr>
              <w:spacing w:line="240" w:lineRule="auto" w:after="0"/>
              <w:ind w:firstLine="0"/>
              <w:jc w:val="left"/>
            </w:pPr>
            <w:r>
              <w:rPr>
                <w:rFonts w:ascii="Times New Roman" w:hAnsi="Times New Roman"/>
                <w:sz w:val="15"/>
              </w:rPr>
              <w:t>d1</w:t>
            </w:r>
          </w:p>
        </w:tc>
        <w:tc>
          <w:tcPr>
            <w:tcW w:type="dxa" w:w="2551"/>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те саме</w:t>
            </w:r>
          </w:p>
        </w:tc>
        <w:tc>
          <w:tcPr>
            <w:tcW w:type="dxa" w:w="1871"/>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Reliability</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0,650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0,550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0,650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1,000</w:t>
            </w:r>
          </w:p>
        </w:tc>
        <w:tc>
          <w:tcPr>
            <w:tcW w:type="dxa" w:w="737"/>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0,232</w:t>
            </w:r>
          </w:p>
        </w:tc>
      </w:tr>
      <w:tr>
        <w:trPr>
          <w:cantSplit/>
        </w:trPr>
        <w:tc>
          <w:tcPr>
            <w:tcW w:type="dxa" w:w="454"/>
            <w:vAlign w:val="center"/>
            <w:tcMar>
              <w:top w:w="70" w:type="dxa"/>
              <w:start w:w="80" w:type="dxa"/>
              <w:bottom w:w="70" w:type="dxa"/>
              <w:end w:w="80" w:type="dxa"/>
            </w:tcMar>
          </w:tcPr>
          <w:p>
            <w:pPr>
              <w:spacing w:line="240" w:lineRule="auto" w:after="0"/>
              <w:ind w:firstLine="0"/>
              <w:jc w:val="left"/>
            </w:pPr>
            <w:r>
              <w:rPr>
                <w:rFonts w:ascii="Times New Roman" w:hAnsi="Times New Roman"/>
                <w:sz w:val="15"/>
              </w:rPr>
              <w:t>d2</w:t>
            </w:r>
          </w:p>
        </w:tc>
        <w:tc>
          <w:tcPr>
            <w:tcW w:type="dxa" w:w="2551"/>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не визначено fallback при відмові GPS</w:t>
            </w:r>
          </w:p>
        </w:tc>
        <w:tc>
          <w:tcPr>
            <w:tcW w:type="dxa" w:w="1871"/>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Reliability</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0,950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0,820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0,950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1,000</w:t>
            </w:r>
          </w:p>
        </w:tc>
        <w:tc>
          <w:tcPr>
            <w:tcW w:type="dxa" w:w="737"/>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0,740</w:t>
            </w:r>
          </w:p>
        </w:tc>
      </w:tr>
      <w:tr>
        <w:trPr>
          <w:cantSplit/>
        </w:trPr>
        <w:tc>
          <w:tcPr>
            <w:tcW w:type="dxa" w:w="454"/>
            <w:vAlign w:val="center"/>
            <w:tcMar>
              <w:top w:w="70" w:type="dxa"/>
              <w:start w:w="80" w:type="dxa"/>
              <w:bottom w:w="70" w:type="dxa"/>
              <w:end w:w="80" w:type="dxa"/>
            </w:tcMar>
          </w:tcPr>
          <w:p>
            <w:pPr>
              <w:spacing w:line="240" w:lineRule="auto" w:after="0"/>
              <w:ind w:firstLine="0"/>
              <w:jc w:val="left"/>
            </w:pPr>
            <w:r>
              <w:rPr>
                <w:rFonts w:ascii="Times New Roman" w:hAnsi="Times New Roman"/>
                <w:sz w:val="15"/>
              </w:rPr>
              <w:t>d3</w:t>
            </w:r>
          </w:p>
        </w:tc>
        <w:tc>
          <w:tcPr>
            <w:tcW w:type="dxa" w:w="2551"/>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«надійно захищені» без критеріїв</w:t>
            </w:r>
          </w:p>
        </w:tc>
        <w:tc>
          <w:tcPr>
            <w:tcW w:type="dxa" w:w="1871"/>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Security</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0,950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0,780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0,950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1,000</w:t>
            </w:r>
          </w:p>
        </w:tc>
        <w:tc>
          <w:tcPr>
            <w:tcW w:type="dxa" w:w="737"/>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0,704</w:t>
            </w:r>
          </w:p>
        </w:tc>
      </w:tr>
      <w:tr>
        <w:trPr>
          <w:cantSplit/>
        </w:trPr>
        <w:tc>
          <w:tcPr>
            <w:tcW w:type="dxa" w:w="454"/>
            <w:vAlign w:val="center"/>
            <w:tcMar>
              <w:top w:w="70" w:type="dxa"/>
              <w:start w:w="80" w:type="dxa"/>
              <w:bottom w:w="70" w:type="dxa"/>
              <w:end w:w="80" w:type="dxa"/>
            </w:tcMar>
          </w:tcPr>
          <w:p>
            <w:pPr>
              <w:spacing w:line="240" w:lineRule="auto" w:after="0"/>
              <w:ind w:firstLine="0"/>
              <w:jc w:val="left"/>
            </w:pPr>
            <w:r>
              <w:rPr>
                <w:rFonts w:ascii="Times New Roman" w:hAnsi="Times New Roman"/>
                <w:sz w:val="15"/>
              </w:rPr>
              <w:t>d4</w:t>
            </w:r>
          </w:p>
        </w:tc>
        <w:tc>
          <w:tcPr>
            <w:tcW w:type="dxa" w:w="2551"/>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конфлікт timeout 15/30 хв</w:t>
            </w:r>
          </w:p>
        </w:tc>
        <w:tc>
          <w:tcPr>
            <w:tcW w:type="dxa" w:w="1871"/>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Security</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0,850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0,620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0,800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1,000</w:t>
            </w:r>
          </w:p>
        </w:tc>
        <w:tc>
          <w:tcPr>
            <w:tcW w:type="dxa" w:w="737"/>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0,422</w:t>
            </w:r>
          </w:p>
        </w:tc>
      </w:tr>
      <w:tr>
        <w:trPr>
          <w:cantSplit/>
        </w:trPr>
        <w:tc>
          <w:tcPr>
            <w:tcW w:type="dxa" w:w="454"/>
            <w:vAlign w:val="center"/>
            <w:tcMar>
              <w:top w:w="70" w:type="dxa"/>
              <w:start w:w="80" w:type="dxa"/>
              <w:bottom w:w="70" w:type="dxa"/>
              <w:end w:w="80" w:type="dxa"/>
            </w:tcMar>
          </w:tcPr>
          <w:p>
            <w:pPr>
              <w:spacing w:line="240" w:lineRule="auto" w:after="0"/>
              <w:ind w:firstLine="0"/>
              <w:jc w:val="left"/>
            </w:pPr>
            <w:r>
              <w:rPr>
                <w:rFonts w:ascii="Times New Roman" w:hAnsi="Times New Roman"/>
                <w:sz w:val="15"/>
              </w:rPr>
              <w:t>d4</w:t>
            </w:r>
          </w:p>
        </w:tc>
        <w:tc>
          <w:tcPr>
            <w:tcW w:type="dxa" w:w="2551"/>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те саме</w:t>
            </w:r>
          </w:p>
        </w:tc>
        <w:tc>
          <w:tcPr>
            <w:tcW w:type="dxa" w:w="1871"/>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Functional suitability</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0,750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0,580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0,700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0,900</w:t>
            </w:r>
          </w:p>
        </w:tc>
        <w:tc>
          <w:tcPr>
            <w:tcW w:type="dxa" w:w="737"/>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0,274</w:t>
            </w:r>
          </w:p>
        </w:tc>
      </w:tr>
      <w:tr>
        <w:trPr>
          <w:cantSplit/>
        </w:trPr>
        <w:tc>
          <w:tcPr>
            <w:tcW w:type="dxa" w:w="454"/>
            <w:vAlign w:val="center"/>
            <w:tcMar>
              <w:top w:w="70" w:type="dxa"/>
              <w:start w:w="80" w:type="dxa"/>
              <w:bottom w:w="70" w:type="dxa"/>
              <w:end w:w="80" w:type="dxa"/>
            </w:tcMar>
          </w:tcPr>
          <w:p>
            <w:pPr>
              <w:spacing w:line="240" w:lineRule="auto" w:after="0"/>
              <w:ind w:firstLine="0"/>
              <w:jc w:val="left"/>
            </w:pPr>
            <w:r>
              <w:rPr>
                <w:rFonts w:ascii="Times New Roman" w:hAnsi="Times New Roman"/>
                <w:sz w:val="15"/>
              </w:rPr>
              <w:t>d5</w:t>
            </w:r>
          </w:p>
        </w:tc>
        <w:tc>
          <w:tcPr>
            <w:tcW w:type="dxa" w:w="2551"/>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відсутній SLA для перерахунку маршруту та пікового навантаження</w:t>
            </w:r>
          </w:p>
        </w:tc>
        <w:tc>
          <w:tcPr>
            <w:tcW w:type="dxa" w:w="1871"/>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Performance efficiency</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0,950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0,760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0,850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0,900</w:t>
            </w:r>
          </w:p>
        </w:tc>
        <w:tc>
          <w:tcPr>
            <w:tcW w:type="dxa" w:w="737"/>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0,552</w:t>
            </w:r>
          </w:p>
        </w:tc>
      </w:tr>
      <w:tr>
        <w:trPr>
          <w:cantSplit/>
        </w:trPr>
        <w:tc>
          <w:tcPr>
            <w:tcW w:type="dxa" w:w="454"/>
            <w:vAlign w:val="center"/>
            <w:tcMar>
              <w:top w:w="70" w:type="dxa"/>
              <w:start w:w="80" w:type="dxa"/>
              <w:bottom w:w="70" w:type="dxa"/>
              <w:end w:w="80" w:type="dxa"/>
            </w:tcMar>
          </w:tcPr>
          <w:p>
            <w:pPr>
              <w:spacing w:line="240" w:lineRule="auto" w:after="0"/>
              <w:ind w:firstLine="0"/>
              <w:jc w:val="left"/>
            </w:pPr>
            <w:r>
              <w:rPr>
                <w:rFonts w:ascii="Times New Roman" w:hAnsi="Times New Roman"/>
                <w:sz w:val="15"/>
              </w:rPr>
              <w:t>d6</w:t>
            </w:r>
          </w:p>
        </w:tc>
        <w:tc>
          <w:tcPr>
            <w:tcW w:type="dxa" w:w="2551"/>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слабка трасованість API-вимог</w:t>
            </w:r>
          </w:p>
        </w:tc>
        <w:tc>
          <w:tcPr>
            <w:tcW w:type="dxa" w:w="1871"/>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Maintainability</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0,850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0,640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0,650</w:t>
            </w:r>
          </w:p>
        </w:tc>
        <w:tc>
          <w:tcPr>
            <w:tcW w:type="dxa" w:w="624"/>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0,700</w:t>
            </w:r>
          </w:p>
        </w:tc>
        <w:tc>
          <w:tcPr>
            <w:tcW w:type="dxa" w:w="737"/>
            <w:vAlign w:val="center"/>
            <w:tcMar>
              <w:top w:w="70" w:type="dxa"/>
              <w:start w:w="80" w:type="dxa"/>
              <w:bottom w:w="70" w:type="dxa"/>
              <w:end w:w="80" w:type="dxa"/>
            </w:tcMar>
          </w:tcPr>
          <w:p>
            <w:pPr>
              <w:spacing w:line="240" w:lineRule="auto" w:after="0"/>
              <w:ind w:firstLine="0"/>
              <w:jc w:val="center"/>
            </w:pPr>
            <w:r>
              <w:rPr>
                <w:rFonts w:ascii="Times New Roman" w:hAnsi="Times New Roman"/>
                <w:sz w:val="15"/>
              </w:rPr>
              <w:t>0,248</w:t>
            </w:r>
          </w:p>
        </w:tc>
      </w:tr>
    </w:tbl>
    <w:p>
      <w:pPr>
        <w:spacing w:after="0"/>
      </w:pPr>
    </w:p>
    <w:p>
      <w:r>
        <w:t>Найвищим виявляється ризик d2 → Reliability: 0,740. Наступним є d3 → Security: 0,704. Для Performance efficiency критичним є дефект d5 з ризиком 0,552. Така картина вже дозволяє визначити пріоритет коригування не за суб’єктивним відчуттям аналітика, а за формалізованою оцінкою потенційного впливу.</w:t>
      </w:r>
    </w:p>
    <w:p>
      <w:pPr>
        <w:spacing w:line="276" w:lineRule="auto"/>
        <w:ind w:firstLine="0"/>
        <w:jc w:val="center"/>
      </w:pPr>
      <w:r>
        <w:rPr>
          <w:rFonts w:ascii="Cambria Math" w:hAnsi="Cambria Math"/>
          <w:sz w:val="24"/>
        </w:rPr>
        <w:t>RiskReliability = max(0,232; 0,740) = 0,740.</w:t>
      </w:r>
    </w:p>
    <w:p>
      <w:pPr>
        <w:spacing w:line="276" w:lineRule="auto"/>
        <w:ind w:firstLine="0"/>
        <w:jc w:val="center"/>
      </w:pPr>
      <w:r>
        <w:rPr>
          <w:rFonts w:ascii="Cambria Math" w:hAnsi="Cambria Math"/>
          <w:sz w:val="24"/>
        </w:rPr>
        <w:t>RiskSecurity = max(0,704; 0,422) = 0,704.</w:t>
      </w:r>
    </w:p>
    <w:p>
      <w:pPr>
        <w:spacing w:line="276" w:lineRule="auto"/>
        <w:ind w:firstLine="0"/>
        <w:jc w:val="center"/>
      </w:pPr>
      <w:r>
        <w:rPr>
          <w:rFonts w:ascii="Cambria Math" w:hAnsi="Cambria Math"/>
          <w:sz w:val="24"/>
        </w:rPr>
        <w:t>RiskPerformance = max(0,425; 0,552) = 0,552.</w:t>
      </w:r>
    </w:p>
    <w:p>
      <w:pPr>
        <w:pStyle w:val="Heading1"/>
      </w:pPr>
      <w:r>
        <w:t>8. Формування коригувальних впливів A</w:t>
      </w:r>
    </w:p>
    <w:p>
      <w:r>
        <w:t>Після виявлення ризиків модель повинна приводити до конкретних дій над специфікацією. Коригувальний вплив повинен містити не лише нове формулювання, а й очікуваний ефект, залежності, критерій перевірки та за можливості оцінку вартості зміни.</w:t>
      </w:r>
    </w:p>
    <w:tbl>
      <w:tblPr>
        <w:tblStyle w:val="TableGrid"/>
        <w:tblW w:type="auto" w:w="0"/>
        <w:jc w:val="center"/>
        <w:tblLayout w:type="fixed"/>
        <w:tblLook w:firstColumn="1" w:firstRow="1" w:lastColumn="0" w:lastRow="0" w:noHBand="0" w:noVBand="1" w:val="04A0"/>
      </w:tblPr>
      <w:tblGrid>
        <w:gridCol w:w="4844"/>
        <w:gridCol w:w="4844"/>
      </w:tblGrid>
      <w:tr>
        <w:trPr>
          <w:tblHeader w:val="true"/>
        </w:trPr>
        <w:tc>
          <w:tcPr>
            <w:tcW w:type="dxa" w:w="1247"/>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18"/>
              </w:rPr>
              <w:t>Зміна</w:t>
            </w:r>
          </w:p>
        </w:tc>
        <w:tc>
          <w:tcPr>
            <w:tcW w:type="dxa" w:w="7370"/>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18"/>
              </w:rPr>
              <w:t>Уточнене формулювання</w:t>
            </w:r>
          </w:p>
        </w:tc>
      </w:tr>
      <w:tr>
        <w:trPr>
          <w:cantSplit/>
        </w:trPr>
        <w:tc>
          <w:tcPr>
            <w:tcW w:type="dxa" w:w="1247"/>
            <w:vAlign w:val="center"/>
            <w:tcMar>
              <w:top w:w="70" w:type="dxa"/>
              <w:start w:w="80" w:type="dxa"/>
              <w:bottom w:w="70" w:type="dxa"/>
              <w:end w:w="80" w:type="dxa"/>
            </w:tcMar>
          </w:tcPr>
          <w:p>
            <w:pPr>
              <w:spacing w:line="240" w:lineRule="auto" w:after="0"/>
              <w:ind w:firstLine="0"/>
              <w:jc w:val="left"/>
            </w:pPr>
            <w:r>
              <w:rPr>
                <w:rFonts w:ascii="Times New Roman" w:hAnsi="Times New Roman"/>
                <w:sz w:val="18"/>
              </w:rPr>
              <w:t>R1 → R1′</w:t>
            </w:r>
          </w:p>
        </w:tc>
        <w:tc>
          <w:tcPr>
            <w:tcW w:type="dxa" w:w="7370"/>
            <w:vAlign w:val="center"/>
            <w:tcMar>
              <w:top w:w="70" w:type="dxa"/>
              <w:start w:w="80" w:type="dxa"/>
              <w:bottom w:w="70" w:type="dxa"/>
              <w:end w:w="80" w:type="dxa"/>
            </w:tcMar>
          </w:tcPr>
          <w:p>
            <w:pPr>
              <w:spacing w:line="240" w:lineRule="auto" w:after="0"/>
              <w:ind w:firstLine="0"/>
              <w:jc w:val="center"/>
            </w:pPr>
            <w:r>
              <w:rPr>
                <w:rFonts w:ascii="Times New Roman" w:hAnsi="Times New Roman"/>
                <w:sz w:val="18"/>
              </w:rPr>
              <w:t>Замість «у реальному часі»: координати активного транспортного засобу повинні оновлюватися не рідше одного разу на 5 с; 95-й перцентиль затримки від отримання GPS-події до відображення в UI — не більше 3 с.</w:t>
            </w:r>
          </w:p>
        </w:tc>
      </w:tr>
      <w:tr>
        <w:trPr>
          <w:cantSplit/>
        </w:trPr>
        <w:tc>
          <w:tcPr>
            <w:tcW w:type="dxa" w:w="1247"/>
            <w:vAlign w:val="center"/>
            <w:tcMar>
              <w:top w:w="70" w:type="dxa"/>
              <w:start w:w="80" w:type="dxa"/>
              <w:bottom w:w="70" w:type="dxa"/>
              <w:end w:w="80" w:type="dxa"/>
            </w:tcMar>
          </w:tcPr>
          <w:p>
            <w:pPr>
              <w:spacing w:line="240" w:lineRule="auto" w:after="0"/>
              <w:ind w:firstLine="0"/>
              <w:jc w:val="left"/>
            </w:pPr>
            <w:r>
              <w:rPr>
                <w:rFonts w:ascii="Times New Roman" w:hAnsi="Times New Roman"/>
                <w:sz w:val="18"/>
              </w:rPr>
              <w:t>R2 → R2′</w:t>
            </w:r>
          </w:p>
        </w:tc>
        <w:tc>
          <w:tcPr>
            <w:tcW w:type="dxa" w:w="7370"/>
            <w:vAlign w:val="center"/>
            <w:tcMar>
              <w:top w:w="70" w:type="dxa"/>
              <w:start w:w="80" w:type="dxa"/>
              <w:bottom w:w="70" w:type="dxa"/>
              <w:end w:w="80" w:type="dxa"/>
            </w:tcMar>
          </w:tcPr>
          <w:p>
            <w:pPr>
              <w:spacing w:line="240" w:lineRule="auto" w:after="0"/>
              <w:ind w:firstLine="0"/>
              <w:jc w:val="center"/>
            </w:pPr>
            <w:r>
              <w:rPr>
                <w:rFonts w:ascii="Times New Roman" w:hAnsi="Times New Roman"/>
                <w:sz w:val="18"/>
              </w:rPr>
              <w:t>Після отримання події про перекриття дороги новий маршрут для 95 % запитів має бути сформований не більше ніж за 4 с при навантаженні до 300 одночасних запитів.</w:t>
            </w:r>
          </w:p>
        </w:tc>
      </w:tr>
      <w:tr>
        <w:trPr>
          <w:cantSplit/>
        </w:trPr>
        <w:tc>
          <w:tcPr>
            <w:tcW w:type="dxa" w:w="1247"/>
            <w:vAlign w:val="center"/>
            <w:tcMar>
              <w:top w:w="70" w:type="dxa"/>
              <w:start w:w="80" w:type="dxa"/>
              <w:bottom w:w="70" w:type="dxa"/>
              <w:end w:w="80" w:type="dxa"/>
            </w:tcMar>
          </w:tcPr>
          <w:p>
            <w:pPr>
              <w:spacing w:line="240" w:lineRule="auto" w:after="0"/>
              <w:ind w:firstLine="0"/>
              <w:jc w:val="left"/>
            </w:pPr>
            <w:r>
              <w:rPr>
                <w:rFonts w:ascii="Times New Roman" w:hAnsi="Times New Roman"/>
                <w:sz w:val="18"/>
              </w:rPr>
              <w:t>R3 → R3′</w:t>
            </w:r>
          </w:p>
        </w:tc>
        <w:tc>
          <w:tcPr>
            <w:tcW w:type="dxa" w:w="7370"/>
            <w:vAlign w:val="center"/>
            <w:tcMar>
              <w:top w:w="70" w:type="dxa"/>
              <w:start w:w="80" w:type="dxa"/>
              <w:bottom w:w="70" w:type="dxa"/>
              <w:end w:w="80" w:type="dxa"/>
            </w:tcMar>
          </w:tcPr>
          <w:p>
            <w:pPr>
              <w:spacing w:line="240" w:lineRule="auto" w:after="0"/>
              <w:ind w:firstLine="0"/>
              <w:jc w:val="center"/>
            </w:pPr>
            <w:r>
              <w:rPr>
                <w:rFonts w:ascii="Times New Roman" w:hAnsi="Times New Roman"/>
                <w:sz w:val="18"/>
              </w:rPr>
              <w:t>Дані передаються через TLS 1.3; доступ до API — за OAuth 2.0/OIDC; критичні операції журналюються; дані клієнтів логічно ізолюються між tenant-ами; визначено негативні security tests.</w:t>
            </w:r>
          </w:p>
        </w:tc>
      </w:tr>
      <w:tr>
        <w:trPr>
          <w:cantSplit/>
        </w:trPr>
        <w:tc>
          <w:tcPr>
            <w:tcW w:type="dxa" w:w="1247"/>
            <w:vAlign w:val="center"/>
            <w:tcMar>
              <w:top w:w="70" w:type="dxa"/>
              <w:start w:w="80" w:type="dxa"/>
              <w:bottom w:w="70" w:type="dxa"/>
              <w:end w:w="80" w:type="dxa"/>
            </w:tcMar>
          </w:tcPr>
          <w:p>
            <w:pPr>
              <w:spacing w:line="240" w:lineRule="auto" w:after="0"/>
              <w:ind w:firstLine="0"/>
              <w:jc w:val="left"/>
            </w:pPr>
            <w:r>
              <w:rPr>
                <w:rFonts w:ascii="Times New Roman" w:hAnsi="Times New Roman"/>
                <w:sz w:val="18"/>
              </w:rPr>
              <w:t>R4 → R4′</w:t>
            </w:r>
          </w:p>
        </w:tc>
        <w:tc>
          <w:tcPr>
            <w:tcW w:type="dxa" w:w="7370"/>
            <w:vAlign w:val="center"/>
            <w:tcMar>
              <w:top w:w="70" w:type="dxa"/>
              <w:start w:w="80" w:type="dxa"/>
              <w:bottom w:w="70" w:type="dxa"/>
              <w:end w:w="80" w:type="dxa"/>
            </w:tcMar>
          </w:tcPr>
          <w:p>
            <w:pPr>
              <w:spacing w:line="240" w:lineRule="auto" w:after="0"/>
              <w:ind w:firstLine="0"/>
              <w:jc w:val="center"/>
            </w:pPr>
            <w:r>
              <w:rPr>
                <w:rFonts w:ascii="Times New Roman" w:hAnsi="Times New Roman"/>
                <w:sz w:val="18"/>
              </w:rPr>
              <w:t>Місячна доступність сервісу — не нижче 99,9 %; визначено допустимі виключення та спосіб розрахунку SLA.</w:t>
            </w:r>
          </w:p>
        </w:tc>
      </w:tr>
      <w:tr>
        <w:trPr>
          <w:cantSplit/>
        </w:trPr>
        <w:tc>
          <w:tcPr>
            <w:tcW w:type="dxa" w:w="1247"/>
            <w:vAlign w:val="center"/>
            <w:tcMar>
              <w:top w:w="70" w:type="dxa"/>
              <w:start w:w="80" w:type="dxa"/>
              <w:bottom w:w="70" w:type="dxa"/>
              <w:end w:w="80" w:type="dxa"/>
            </w:tcMar>
          </w:tcPr>
          <w:p>
            <w:pPr>
              <w:spacing w:line="240" w:lineRule="auto" w:after="0"/>
              <w:ind w:firstLine="0"/>
              <w:jc w:val="left"/>
            </w:pPr>
            <w:r>
              <w:rPr>
                <w:rFonts w:ascii="Times New Roman" w:hAnsi="Times New Roman"/>
                <w:sz w:val="18"/>
              </w:rPr>
              <w:t>R5 → R5′</w:t>
            </w:r>
          </w:p>
        </w:tc>
        <w:tc>
          <w:tcPr>
            <w:tcW w:type="dxa" w:w="7370"/>
            <w:vAlign w:val="center"/>
            <w:tcMar>
              <w:top w:w="70" w:type="dxa"/>
              <w:start w:w="80" w:type="dxa"/>
              <w:bottom w:w="70" w:type="dxa"/>
              <w:end w:w="80" w:type="dxa"/>
            </w:tcMar>
          </w:tcPr>
          <w:p>
            <w:pPr>
              <w:spacing w:line="240" w:lineRule="auto" w:after="0"/>
              <w:ind w:firstLine="0"/>
              <w:jc w:val="center"/>
            </w:pPr>
            <w:r>
              <w:rPr>
                <w:rFonts w:ascii="Times New Roman" w:hAnsi="Times New Roman"/>
                <w:sz w:val="18"/>
              </w:rPr>
              <w:t>Якщо GPS-провайдер не відповідає 15 с, події зберігаються у черзі, UI показує статус degraded, виконується повторна спроба з backoff; після 2 хв формують alert.</w:t>
            </w:r>
          </w:p>
        </w:tc>
      </w:tr>
      <w:tr>
        <w:trPr>
          <w:cantSplit/>
        </w:trPr>
        <w:tc>
          <w:tcPr>
            <w:tcW w:type="dxa" w:w="1247"/>
            <w:vAlign w:val="center"/>
            <w:tcMar>
              <w:top w:w="70" w:type="dxa"/>
              <w:start w:w="80" w:type="dxa"/>
              <w:bottom w:w="70" w:type="dxa"/>
              <w:end w:w="80" w:type="dxa"/>
            </w:tcMar>
          </w:tcPr>
          <w:p>
            <w:pPr>
              <w:spacing w:line="240" w:lineRule="auto" w:after="0"/>
              <w:ind w:firstLine="0"/>
              <w:jc w:val="left"/>
            </w:pPr>
            <w:r>
              <w:rPr>
                <w:rFonts w:ascii="Times New Roman" w:hAnsi="Times New Roman"/>
                <w:sz w:val="18"/>
              </w:rPr>
              <w:t>R6 → R6′</w:t>
            </w:r>
          </w:p>
        </w:tc>
        <w:tc>
          <w:tcPr>
            <w:tcW w:type="dxa" w:w="7370"/>
            <w:vAlign w:val="center"/>
            <w:tcMar>
              <w:top w:w="70" w:type="dxa"/>
              <w:start w:w="80" w:type="dxa"/>
              <w:bottom w:w="70" w:type="dxa"/>
              <w:end w:w="80" w:type="dxa"/>
            </w:tcMar>
          </w:tcPr>
          <w:p>
            <w:pPr>
              <w:spacing w:line="240" w:lineRule="auto" w:after="0"/>
              <w:ind w:firstLine="0"/>
              <w:jc w:val="center"/>
            </w:pPr>
            <w:r>
              <w:rPr>
                <w:rFonts w:ascii="Times New Roman" w:hAnsi="Times New Roman"/>
                <w:sz w:val="18"/>
              </w:rPr>
              <w:t>Встановити єдине значення timeout 15 хв для ролей з доступом до персональних даних; суперечливе значення 30 хв вилучити.</w:t>
            </w:r>
          </w:p>
        </w:tc>
      </w:tr>
      <w:tr>
        <w:trPr>
          <w:cantSplit/>
        </w:trPr>
        <w:tc>
          <w:tcPr>
            <w:tcW w:type="dxa" w:w="1247"/>
            <w:vAlign w:val="center"/>
            <w:tcMar>
              <w:top w:w="70" w:type="dxa"/>
              <w:start w:w="80" w:type="dxa"/>
              <w:bottom w:w="70" w:type="dxa"/>
              <w:end w:w="80" w:type="dxa"/>
            </w:tcMar>
          </w:tcPr>
          <w:p>
            <w:pPr>
              <w:spacing w:line="240" w:lineRule="auto" w:after="0"/>
              <w:ind w:firstLine="0"/>
              <w:jc w:val="left"/>
            </w:pPr>
            <w:r>
              <w:rPr>
                <w:rFonts w:ascii="Times New Roman" w:hAnsi="Times New Roman"/>
                <w:sz w:val="18"/>
              </w:rPr>
              <w:t>R7 → R7′</w:t>
            </w:r>
          </w:p>
        </w:tc>
        <w:tc>
          <w:tcPr>
            <w:tcW w:type="dxa" w:w="7370"/>
            <w:vAlign w:val="center"/>
            <w:tcMar>
              <w:top w:w="70" w:type="dxa"/>
              <w:start w:w="80" w:type="dxa"/>
              <w:bottom w:w="70" w:type="dxa"/>
              <w:end w:w="80" w:type="dxa"/>
            </w:tcMar>
          </w:tcPr>
          <w:p>
            <w:pPr>
              <w:spacing w:line="240" w:lineRule="auto" w:after="0"/>
              <w:ind w:firstLine="0"/>
              <w:jc w:val="center"/>
            </w:pPr>
            <w:r>
              <w:rPr>
                <w:rFonts w:ascii="Times New Roman" w:hAnsi="Times New Roman"/>
                <w:sz w:val="18"/>
              </w:rPr>
              <w:t>Для кожної критичної API-вимоги створити traceability link до acceptance test, NFR test та відповідного релізного критерію.</w:t>
            </w:r>
          </w:p>
        </w:tc>
      </w:tr>
    </w:tbl>
    <w:p>
      <w:pPr>
        <w:spacing w:after="0"/>
      </w:pPr>
    </w:p>
    <w:p>
      <w:r>
        <w:t>Таким чином формується нова специфікація S₂. Її відмінність від S₁ полягає не у збільшенні обсягу тексту як такому, а в тому, що ключові вимоги стали кількісними, перевірюваними, узгодженими і пов’язаними з процедурами верифікації.</w:t>
      </w:r>
    </w:p>
    <w:p>
      <w:pPr>
        <w:pStyle w:val="Heading1"/>
      </w:pPr>
      <w:r>
        <w:t>9. Повторне вимірювання специфікації S₂</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rPr>
          <w:tblHeader w:val="true"/>
        </w:trPr>
        <w:tc>
          <w:tcPr>
            <w:tcW w:type="dxa" w:w="4819"/>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20"/>
              </w:rPr>
              <w:t>Властивість</w:t>
            </w:r>
          </w:p>
        </w:tc>
        <w:tc>
          <w:tcPr>
            <w:tcW w:type="dxa" w:w="1134"/>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20"/>
              </w:rPr>
              <w:t>S₁</w:t>
            </w:r>
          </w:p>
        </w:tc>
        <w:tc>
          <w:tcPr>
            <w:tcW w:type="dxa" w:w="1134"/>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20"/>
              </w:rPr>
              <w:t>S₂</w:t>
            </w:r>
          </w:p>
        </w:tc>
        <w:tc>
          <w:tcPr>
            <w:tcW w:type="dxa" w:w="1134"/>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20"/>
              </w:rPr>
              <w:t>Δ</w:t>
            </w:r>
          </w:p>
        </w:tc>
      </w:tr>
      <w:tr>
        <w:trPr>
          <w:cantSplit/>
        </w:trPr>
        <w:tc>
          <w:tcPr>
            <w:tcW w:type="dxa" w:w="4819"/>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Повнота</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0,58</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0,91</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+0,33</w:t>
            </w:r>
          </w:p>
        </w:tc>
      </w:tr>
      <w:tr>
        <w:trPr>
          <w:cantSplit/>
        </w:trPr>
        <w:tc>
          <w:tcPr>
            <w:tcW w:type="dxa" w:w="4819"/>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Однозначність</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0,55</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0,90</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+0,35</w:t>
            </w:r>
          </w:p>
        </w:tc>
      </w:tr>
      <w:tr>
        <w:trPr>
          <w:cantSplit/>
        </w:trPr>
        <w:tc>
          <w:tcPr>
            <w:tcW w:type="dxa" w:w="4819"/>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Перевірюваність</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0,49</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0,92</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+0,43</w:t>
            </w:r>
          </w:p>
        </w:tc>
      </w:tr>
      <w:tr>
        <w:trPr>
          <w:cantSplit/>
        </w:trPr>
        <w:tc>
          <w:tcPr>
            <w:tcW w:type="dxa" w:w="4819"/>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Узгодженість</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0,68</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0,94</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+0,26</w:t>
            </w:r>
          </w:p>
        </w:tc>
      </w:tr>
      <w:tr>
        <w:trPr>
          <w:cantSplit/>
        </w:trPr>
        <w:tc>
          <w:tcPr>
            <w:tcW w:type="dxa" w:w="4819"/>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Трасованість</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0,57</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0,93</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+0,36</w:t>
            </w:r>
          </w:p>
        </w:tc>
      </w:tr>
      <w:tr>
        <w:trPr>
          <w:cantSplit/>
        </w:trPr>
        <w:tc>
          <w:tcPr>
            <w:tcW w:type="dxa" w:w="4819"/>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Опрацьованість відмовних сценаріїв</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0,45</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0,91</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+0,46</w:t>
            </w:r>
          </w:p>
        </w:tc>
      </w:tr>
      <w:tr>
        <w:trPr>
          <w:cantSplit/>
        </w:trPr>
        <w:tc>
          <w:tcPr>
            <w:tcW w:type="dxa" w:w="4819"/>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Конкретність безпекових вимог</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0,52</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0,95</w:t>
            </w:r>
          </w:p>
        </w:tc>
        <w:tc>
          <w:tcPr>
            <w:tcW w:type="dxa" w:w="1134"/>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+0,43</w:t>
            </w:r>
          </w:p>
        </w:tc>
      </w:tr>
    </w:tbl>
    <w:p>
      <w:pPr>
        <w:spacing w:after="0"/>
      </w:pPr>
    </w:p>
    <w:p>
      <w:r>
        <w:t>Повторне вимірювання показує суттєве покращення саме тих властивостей, які були пов’язані з найбільшими ризиками. Важливо, що оцінювання виконується тим самим набором правил: інакше порівняння «до/після» було б методологічно некоректним.</w:t>
      </w:r>
    </w:p>
    <w:p>
      <w:pPr>
        <w:pStyle w:val="Heading1"/>
      </w:pPr>
      <w:r>
        <w:t>10. Повторний прогноз якості після коригування</w:t>
      </w:r>
    </w:p>
    <w:p>
      <w:r>
        <w:t>Для S₂ використовуються ті самі демонстраційні прогнозні функції. Це дозволяє оцінити, як зміна вимірюваних властивостей специфікації відображається на прогнозованих характеристиках продукту.</w:t>
      </w:r>
    </w:p>
    <w:p>
      <w:pPr>
        <w:spacing w:line="276" w:lineRule="auto"/>
        <w:ind w:firstLine="0"/>
        <w:jc w:val="center"/>
      </w:pPr>
      <w:r>
        <w:rPr>
          <w:rFonts w:ascii="Cambria Math" w:hAnsi="Cambria Math"/>
          <w:sz w:val="24"/>
        </w:rPr>
        <w:t>zrel′ = −1,25 + 0,75·0,91 + 0,75·0,94 + 1,15·0,91 + 0,80·0,92 = 1,920.</w:t>
      </w:r>
    </w:p>
    <w:p>
      <w:pPr>
        <w:spacing w:line="276" w:lineRule="auto"/>
        <w:ind w:firstLine="0"/>
        <w:jc w:val="center"/>
      </w:pPr>
      <w:r>
        <w:rPr>
          <w:rFonts w:ascii="Cambria Math" w:hAnsi="Cambria Math"/>
          <w:sz w:val="24"/>
        </w:rPr>
        <w:t>ŷrel′ = σ(1,920) ≈ 0,872.</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rPr>
          <w:tblHeader w:val="true"/>
        </w:trPr>
        <w:tc>
          <w:tcPr>
            <w:tcW w:type="dxa" w:w="4252"/>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20"/>
              </w:rPr>
              <w:t>Характеристика</w:t>
            </w:r>
          </w:p>
        </w:tc>
        <w:tc>
          <w:tcPr>
            <w:tcW w:type="dxa" w:w="1417"/>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20"/>
              </w:rPr>
              <w:t>ŷ(S₁)</w:t>
            </w:r>
          </w:p>
        </w:tc>
        <w:tc>
          <w:tcPr>
            <w:tcW w:type="dxa" w:w="1417"/>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20"/>
              </w:rPr>
              <w:t>ŷ(S₂)</w:t>
            </w:r>
          </w:p>
        </w:tc>
        <w:tc>
          <w:tcPr>
            <w:tcW w:type="dxa" w:w="1417"/>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20"/>
              </w:rPr>
              <w:t>Δŷ</w:t>
            </w:r>
          </w:p>
        </w:tc>
      </w:tr>
      <w:tr>
        <w:trPr>
          <w:cantSplit/>
        </w:trPr>
        <w:tc>
          <w:tcPr>
            <w:tcW w:type="dxa" w:w="4252"/>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Functional suitability</w:t>
            </w:r>
          </w:p>
        </w:tc>
        <w:tc>
          <w:tcPr>
            <w:tcW w:type="dxa" w:w="1417"/>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0,704</w:t>
            </w:r>
          </w:p>
        </w:tc>
        <w:tc>
          <w:tcPr>
            <w:tcW w:type="dxa" w:w="1417"/>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0,883</w:t>
            </w:r>
          </w:p>
        </w:tc>
        <w:tc>
          <w:tcPr>
            <w:tcW w:type="dxa" w:w="1417"/>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+0,179</w:t>
            </w:r>
          </w:p>
        </w:tc>
      </w:tr>
      <w:tr>
        <w:trPr>
          <w:cantSplit/>
        </w:trPr>
        <w:tc>
          <w:tcPr>
            <w:tcW w:type="dxa" w:w="4252"/>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Performance efficiency</w:t>
            </w:r>
          </w:p>
        </w:tc>
        <w:tc>
          <w:tcPr>
            <w:tcW w:type="dxa" w:w="1417"/>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0,580</w:t>
            </w:r>
          </w:p>
        </w:tc>
        <w:tc>
          <w:tcPr>
            <w:tcW w:type="dxa" w:w="1417"/>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0,797</w:t>
            </w:r>
          </w:p>
        </w:tc>
        <w:tc>
          <w:tcPr>
            <w:tcW w:type="dxa" w:w="1417"/>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+0,217</w:t>
            </w:r>
          </w:p>
        </w:tc>
      </w:tr>
      <w:tr>
        <w:trPr>
          <w:cantSplit/>
        </w:trPr>
        <w:tc>
          <w:tcPr>
            <w:tcW w:type="dxa" w:w="4252"/>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Reliability</w:t>
            </w:r>
          </w:p>
        </w:tc>
        <w:tc>
          <w:tcPr>
            <w:tcW w:type="dxa" w:w="1417"/>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0,647</w:t>
            </w:r>
          </w:p>
        </w:tc>
        <w:tc>
          <w:tcPr>
            <w:tcW w:type="dxa" w:w="1417"/>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0,872</w:t>
            </w:r>
          </w:p>
        </w:tc>
        <w:tc>
          <w:tcPr>
            <w:tcW w:type="dxa" w:w="1417"/>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+0,225</w:t>
            </w:r>
          </w:p>
        </w:tc>
      </w:tr>
      <w:tr>
        <w:trPr>
          <w:cantSplit/>
        </w:trPr>
        <w:tc>
          <w:tcPr>
            <w:tcW w:type="dxa" w:w="4252"/>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Security</w:t>
            </w:r>
          </w:p>
        </w:tc>
        <w:tc>
          <w:tcPr>
            <w:tcW w:type="dxa" w:w="1417"/>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0,615</w:t>
            </w:r>
          </w:p>
        </w:tc>
        <w:tc>
          <w:tcPr>
            <w:tcW w:type="dxa" w:w="1417"/>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0,851</w:t>
            </w:r>
          </w:p>
        </w:tc>
        <w:tc>
          <w:tcPr>
            <w:tcW w:type="dxa" w:w="1417"/>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+0,236</w:t>
            </w:r>
          </w:p>
        </w:tc>
      </w:tr>
      <w:tr>
        <w:trPr>
          <w:cantSplit/>
        </w:trPr>
        <w:tc>
          <w:tcPr>
            <w:tcW w:type="dxa" w:w="4252"/>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Maintainability</w:t>
            </w:r>
          </w:p>
        </w:tc>
        <w:tc>
          <w:tcPr>
            <w:tcW w:type="dxa" w:w="1417"/>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0,689</w:t>
            </w:r>
          </w:p>
        </w:tc>
        <w:tc>
          <w:tcPr>
            <w:tcW w:type="dxa" w:w="1417"/>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0,854</w:t>
            </w:r>
          </w:p>
        </w:tc>
        <w:tc>
          <w:tcPr>
            <w:tcW w:type="dxa" w:w="1417"/>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+0,165</w:t>
            </w:r>
          </w:p>
        </w:tc>
      </w:tr>
    </w:tbl>
    <w:p>
      <w:pPr>
        <w:spacing w:after="0"/>
      </w:pPr>
    </w:p>
    <w:p>
      <w:pPr>
        <w:spacing w:line="276" w:lineRule="auto"/>
        <w:ind w:firstLine="0"/>
        <w:jc w:val="center"/>
      </w:pPr>
      <w:r>
        <w:rPr>
          <w:rFonts w:ascii="Cambria Math" w:hAnsi="Cambria Math"/>
          <w:sz w:val="24"/>
        </w:rPr>
        <w:t>Qint(S₁) ≈ 0,641;     Qint(S₂) ≈ 0,852;     ΔQint ≈ +0,211.</w:t>
      </w:r>
    </w:p>
    <w:p>
      <w:r>
        <w:t>Отже, після коригування інтегральний прогноз збільшився приблизно на 0,211. Ще важливіше, що Reliability і Security перевищили умовний поріг 0,80, тобто специфікація перестала блокувати контрольну точку за критичними характеристиками.</w:t>
      </w:r>
    </w:p>
    <w:p>
      <w:pPr>
        <w:pStyle w:val="Heading1"/>
      </w:pPr>
      <w:r>
        <w:t>11. Повторна оцінка ризику</w:t>
      </w:r>
    </w:p>
    <w:p>
      <w:r>
        <w:t>Після уточнення вимог сила зв’язку ρ, тяжкість I та контекстна критичність κ можуть залишатися незмінними, оскільки природа наслідку не змінилася. Натомість імовірність p того, що дефект призведе до небажаного результату, повинна зменшитися, оскільки сам дефект усунуто або суттєво послаблено.</w:t>
      </w:r>
    </w:p>
    <w:tbl>
      <w:tblPr>
        <w:tblStyle w:val="TableGrid"/>
        <w:tblW w:type="auto" w:w="0"/>
        <w:jc w:val="center"/>
        <w:tblLayout w:type="fixed"/>
        <w:tblLook w:firstColumn="1" w:firstRow="1" w:lastColumn="0" w:lastRow="0" w:noHBand="0" w:noVBand="1" w:val="04A0"/>
      </w:tblPr>
      <w:tblGrid>
        <w:gridCol w:w="3230"/>
        <w:gridCol w:w="3230"/>
        <w:gridCol w:w="3230"/>
      </w:tblGrid>
      <w:tr>
        <w:trPr>
          <w:tblHeader w:val="true"/>
        </w:trPr>
        <w:tc>
          <w:tcPr>
            <w:tcW w:type="dxa" w:w="5102"/>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20"/>
              </w:rPr>
              <w:t>Пара дефект–характеристика</w:t>
            </w:r>
          </w:p>
        </w:tc>
        <w:tc>
          <w:tcPr>
            <w:tcW w:type="dxa" w:w="1701"/>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20"/>
              </w:rPr>
              <w:t>Risk до</w:t>
            </w:r>
          </w:p>
        </w:tc>
        <w:tc>
          <w:tcPr>
            <w:tcW w:type="dxa" w:w="1701"/>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20"/>
              </w:rPr>
              <w:t>Risk після</w:t>
            </w:r>
          </w:p>
        </w:tc>
      </w:tr>
      <w:tr>
        <w:trPr>
          <w:cantSplit/>
        </w:trPr>
        <w:tc>
          <w:tcPr>
            <w:tcW w:type="dxa" w:w="5102"/>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d1 → Performance</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0,425</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0,091</w:t>
            </w:r>
          </w:p>
        </w:tc>
      </w:tr>
      <w:tr>
        <w:trPr>
          <w:cantSplit/>
        </w:trPr>
        <w:tc>
          <w:tcPr>
            <w:tcW w:type="dxa" w:w="5102"/>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d1 → Reliability</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0,232</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0,063</w:t>
            </w:r>
          </w:p>
        </w:tc>
      </w:tr>
      <w:tr>
        <w:trPr>
          <w:cantSplit/>
        </w:trPr>
        <w:tc>
          <w:tcPr>
            <w:tcW w:type="dxa" w:w="5102"/>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d2 → Reliability</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0,740</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0,144</w:t>
            </w:r>
          </w:p>
        </w:tc>
      </w:tr>
      <w:tr>
        <w:trPr>
          <w:cantSplit/>
        </w:trPr>
        <w:tc>
          <w:tcPr>
            <w:tcW w:type="dxa" w:w="5102"/>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d3 → Security</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0,704</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0,108</w:t>
            </w:r>
          </w:p>
        </w:tc>
      </w:tr>
      <w:tr>
        <w:trPr>
          <w:cantSplit/>
        </w:trPr>
        <w:tc>
          <w:tcPr>
            <w:tcW w:type="dxa" w:w="5102"/>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d4 → Security</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0,422</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0,068</w:t>
            </w:r>
          </w:p>
        </w:tc>
      </w:tr>
      <w:tr>
        <w:trPr>
          <w:cantSplit/>
        </w:trPr>
        <w:tc>
          <w:tcPr>
            <w:tcW w:type="dxa" w:w="5102"/>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d5 → Performance</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0,552</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0,131</w:t>
            </w:r>
          </w:p>
        </w:tc>
      </w:tr>
      <w:tr>
        <w:trPr>
          <w:cantSplit/>
        </w:trPr>
        <w:tc>
          <w:tcPr>
            <w:tcW w:type="dxa" w:w="5102"/>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d6 → Maintainability</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0,248</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0,054</w:t>
            </w:r>
          </w:p>
        </w:tc>
      </w:tr>
    </w:tbl>
    <w:p>
      <w:pPr>
        <w:spacing w:after="0"/>
      </w:pPr>
    </w:p>
    <w:p>
      <w:r>
        <w:t>Для Reliability максимальний локальний ризик зменшується з 0,740 до 0,144; для Security — з 0,704 до 0,108; для Performance efficiency — з 0,552 до 0,131. У практичному сенсі це означає, що команда отримує кількісно обґрунтовану підставу перейти від «ризикової» специфікації до реалізації, не стверджуючи при цьому, що ризик уже дорівнює нулю.</w:t>
      </w:r>
    </w:p>
    <w:p>
      <w:pPr>
        <w:pStyle w:val="Heading1"/>
      </w:pPr>
      <w:r>
        <w:t>12. Перехід до реалізації та фактичних вимірювань</w:t>
      </w:r>
    </w:p>
    <w:p>
      <w:r>
        <w:t>Після погодження S₂ команда переходить до архітектури, реалізації та тестування. На цьому етапі з’являються фактичні значення продуктових характеристик yⱼ, з якими можна порівнювати ранні прогнози ŷⱼ. Саме це порівняння перетворює демонстраційну модель на експериментально перевірювану наукову конструкцію.</w:t>
      </w:r>
    </w:p>
    <w:p>
      <w:r>
        <w:t>Припустимо, після реалізації релізу були отримані такі результати: 44 з 50 функціональних acceptance tests пройдено; у 176 з 200 навантажувальних сценаріїв виконано заданий performance criterion; у 188 з 200 сценаріїв відмови зовнішньої інтеграції система коректно зберегла дані та відновила обробку; 91 зі 100 security test cases завершилися без виявлення порушення критерію; індекс maintainability за внутрішньою методикою дорівнював 0,84.</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rPr>
          <w:tblHeader w:val="true"/>
        </w:trPr>
        <w:tc>
          <w:tcPr>
            <w:tcW w:type="dxa" w:w="3685"/>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20"/>
              </w:rPr>
              <w:t>Характеристика</w:t>
            </w:r>
          </w:p>
        </w:tc>
        <w:tc>
          <w:tcPr>
            <w:tcW w:type="dxa" w:w="1701"/>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20"/>
              </w:rPr>
              <w:t>Ранній прогноз ŷ</w:t>
            </w:r>
          </w:p>
        </w:tc>
        <w:tc>
          <w:tcPr>
            <w:tcW w:type="dxa" w:w="1701"/>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20"/>
              </w:rPr>
              <w:t>Фактичне y</w:t>
            </w:r>
          </w:p>
        </w:tc>
        <w:tc>
          <w:tcPr>
            <w:tcW w:type="dxa" w:w="1417"/>
            <w:shd w:fill="D9E2F3"/>
            <w:vAlign w:val="center"/>
            <w:tcMar>
              <w:top w:w="70" w:type="dxa"/>
              <w:start w:w="80" w:type="dxa"/>
              <w:bottom w:w="70" w:type="dxa"/>
              <w:end w:w="80" w:type="dxa"/>
            </w:tcMar>
          </w:tcPr>
          <w:p>
            <w:pPr>
              <w:spacing w:line="240" w:lineRule="auto"/>
              <w:ind w:firstLine="0"/>
              <w:jc w:val="center"/>
            </w:pPr>
            <w:r>
              <w:rPr>
                <w:rFonts w:ascii="Times New Roman" w:hAnsi="Times New Roman"/>
                <w:b/>
                <w:sz w:val="20"/>
              </w:rPr>
              <w:t>|ŷ−y|</w:t>
            </w:r>
          </w:p>
        </w:tc>
      </w:tr>
      <w:tr>
        <w:trPr>
          <w:cantSplit/>
        </w:trPr>
        <w:tc>
          <w:tcPr>
            <w:tcW w:type="dxa" w:w="3685"/>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Functional suitability</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0,883</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0,880</w:t>
            </w:r>
          </w:p>
        </w:tc>
        <w:tc>
          <w:tcPr>
            <w:tcW w:type="dxa" w:w="1417"/>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0,003</w:t>
            </w:r>
          </w:p>
        </w:tc>
      </w:tr>
      <w:tr>
        <w:trPr>
          <w:cantSplit/>
        </w:trPr>
        <w:tc>
          <w:tcPr>
            <w:tcW w:type="dxa" w:w="3685"/>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Performance efficiency</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0,797</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0,880</w:t>
            </w:r>
          </w:p>
        </w:tc>
        <w:tc>
          <w:tcPr>
            <w:tcW w:type="dxa" w:w="1417"/>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0,083</w:t>
            </w:r>
          </w:p>
        </w:tc>
      </w:tr>
      <w:tr>
        <w:trPr>
          <w:cantSplit/>
        </w:trPr>
        <w:tc>
          <w:tcPr>
            <w:tcW w:type="dxa" w:w="3685"/>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Reliability</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0,872</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0,940</w:t>
            </w:r>
          </w:p>
        </w:tc>
        <w:tc>
          <w:tcPr>
            <w:tcW w:type="dxa" w:w="1417"/>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0,068</w:t>
            </w:r>
          </w:p>
        </w:tc>
      </w:tr>
      <w:tr>
        <w:trPr>
          <w:cantSplit/>
        </w:trPr>
        <w:tc>
          <w:tcPr>
            <w:tcW w:type="dxa" w:w="3685"/>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Security</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0,851</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0,910</w:t>
            </w:r>
          </w:p>
        </w:tc>
        <w:tc>
          <w:tcPr>
            <w:tcW w:type="dxa" w:w="1417"/>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0,059</w:t>
            </w:r>
          </w:p>
        </w:tc>
      </w:tr>
      <w:tr>
        <w:trPr>
          <w:cantSplit/>
        </w:trPr>
        <w:tc>
          <w:tcPr>
            <w:tcW w:type="dxa" w:w="3685"/>
            <w:vAlign w:val="center"/>
            <w:tcMar>
              <w:top w:w="70" w:type="dxa"/>
              <w:start w:w="80" w:type="dxa"/>
              <w:bottom w:w="70" w:type="dxa"/>
              <w:end w:w="80" w:type="dxa"/>
            </w:tcMar>
          </w:tcPr>
          <w:p>
            <w:pPr>
              <w:spacing w:line="240" w:lineRule="auto" w:after="0"/>
              <w:ind w:firstLine="0"/>
              <w:jc w:val="left"/>
            </w:pPr>
            <w:r>
              <w:rPr>
                <w:rFonts w:ascii="Times New Roman" w:hAnsi="Times New Roman"/>
                <w:sz w:val="20"/>
              </w:rPr>
              <w:t>Maintainability</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0,854</w:t>
            </w:r>
          </w:p>
        </w:tc>
        <w:tc>
          <w:tcPr>
            <w:tcW w:type="dxa" w:w="1701"/>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0,840</w:t>
            </w:r>
          </w:p>
        </w:tc>
        <w:tc>
          <w:tcPr>
            <w:tcW w:type="dxa" w:w="1417"/>
            <w:vAlign w:val="center"/>
            <w:tcMar>
              <w:top w:w="70" w:type="dxa"/>
              <w:start w:w="80" w:type="dxa"/>
              <w:bottom w:w="70" w:type="dxa"/>
              <w:end w:w="80" w:type="dxa"/>
            </w:tcMar>
          </w:tcPr>
          <w:p>
            <w:pPr>
              <w:spacing w:line="240" w:lineRule="auto" w:after="0"/>
              <w:ind w:firstLine="0"/>
              <w:jc w:val="center"/>
            </w:pPr>
            <w:r>
              <w:rPr>
                <w:rFonts w:ascii="Times New Roman" w:hAnsi="Times New Roman"/>
                <w:sz w:val="20"/>
              </w:rPr>
              <w:t>0,014</w:t>
            </w:r>
          </w:p>
        </w:tc>
      </w:tr>
    </w:tbl>
    <w:p>
      <w:pPr>
        <w:spacing w:after="0"/>
      </w:pPr>
    </w:p>
    <w:p>
      <w:r>
        <w:t>У наведеному умовному прикладі прогноз досить близький до фактичних результатів для Functional suitability і Maintainability, тоді як для Performance efficiency похибка більша. Це не є недоліком самого підходу: навпаки, така різниця є інформацією для подальшого калібрування моделі. Якщо на великій вибірці спостерігається систематичне недооцінювання або переоцінювання певної характеристики, необхідно переглянути склад Xⱼ, коефіцієнти β, правила нормування метрик або сам клас прогнозної моделі.</w:t>
      </w:r>
    </w:p>
    <w:p>
      <w:pPr>
        <w:pStyle w:val="Heading1"/>
      </w:pPr>
      <w:r>
        <w:t>13. Інтерпретація прикладу з позиції розроблення ПЗ в українській ІТ-компанії</w:t>
      </w:r>
    </w:p>
    <w:p>
      <w:r>
        <w:t>Цей сценарій є тематично близьким до реального процесу сервісної ІТ-розробки в Україні. Бізнес-клієнт може бути розташований у ЄС або США, тоді як аналітики, розробники, QA-інженери, DevOps- та security-фахівці працюють у розподіленій команді. За таких умов нечіткість вимог має додаткову ціну: вона провокує асинхронні уточнення, повторні оцінки задач, перероблення API-контрактів, зміни тестів і затримки релізу.</w:t>
      </w:r>
    </w:p>
    <w:p>
      <w:r>
        <w:t>Наприклад, фраза «оновлювати дані в реальному часі» може бути реалізована одним розробником як інтервал 1 с, іншим — як 30 с. Обидві реалізації формально відповідають тексту, але лише одна може відповідати бізнес-очікуванню. Аналогічно вимога «надійно захистити дані» без конкретних критеріїв не дає QA або security-команді однозначної основи для acceptance testing.</w:t>
      </w:r>
    </w:p>
    <w:p>
      <w:r>
        <w:t>Тому запропонована модель створює спільну кількісну мову між requirements engineering і product quality. Вона не замінює експертів та не автоматизує інженерне рішення повністю. Її функція полягає у ранньому виявленні слабких місць специфікації, оцінюванні їх потенційного впливу на майбутні характеристики продукту та пріоритезації виправлень до того, як ці проблеми стануть дефектами коду, архітектури або інтеграції.</w:t>
      </w:r>
    </w:p>
    <w:p>
      <w:pPr>
        <w:pStyle w:val="Heading1"/>
      </w:pPr>
      <w:r>
        <w:t>14. Як цей приклад може бути використаний у експериментальному розділі дисертації</w:t>
      </w:r>
    </w:p>
    <w:p>
      <w:r>
        <w:t>Для наукової роботи наведений приклад доцільно розглядати як прототип повного експериментального сценарію. У Розділі 5 замість умовних значень необхідно використати реальний або репрезентативно синтезований корпус специфікацій, для якого можна відтворювано обчислити метрики та отримати фактичні продуктові результати.</w:t>
      </w:r>
    </w:p>
    <w:p>
      <w:pPr>
        <w:pStyle w:val="ListBullet"/>
        <w:spacing w:line="360" w:lineRule="auto"/>
        <w:ind w:left="709" w:hanging="283"/>
      </w:pPr>
      <w:r>
        <w:rPr>
          <w:rFonts w:ascii="Times New Roman" w:hAnsi="Times New Roman"/>
          <w:sz w:val="28"/>
        </w:rPr>
        <w:t>сформувати набір проєктів або версій специфікацій S₁, S₂, …, Sₙ;</w:t>
      </w:r>
    </w:p>
    <w:p>
      <w:pPr>
        <w:pStyle w:val="ListBullet"/>
        <w:spacing w:line="360" w:lineRule="auto"/>
        <w:ind w:left="709" w:hanging="283"/>
      </w:pPr>
      <w:r>
        <w:rPr>
          <w:rFonts w:ascii="Times New Roman" w:hAnsi="Times New Roman"/>
          <w:sz w:val="28"/>
        </w:rPr>
        <w:t>для кожної специфікації автоматизовано або експертно обчислити однаковий набір метрик вимог;</w:t>
      </w:r>
    </w:p>
    <w:p>
      <w:pPr>
        <w:pStyle w:val="ListBullet"/>
        <w:spacing w:line="360" w:lineRule="auto"/>
        <w:ind w:left="709" w:hanging="283"/>
      </w:pPr>
      <w:r>
        <w:rPr>
          <w:rFonts w:ascii="Times New Roman" w:hAnsi="Times New Roman"/>
          <w:sz w:val="28"/>
        </w:rPr>
        <w:t>сформувати характеристико-специфічні вектори Xⱼ;</w:t>
      </w:r>
    </w:p>
    <w:p>
      <w:pPr>
        <w:pStyle w:val="ListBullet"/>
        <w:spacing w:line="360" w:lineRule="auto"/>
        <w:ind w:left="709" w:hanging="283"/>
      </w:pPr>
      <w:r>
        <w:rPr>
          <w:rFonts w:ascii="Times New Roman" w:hAnsi="Times New Roman"/>
          <w:sz w:val="28"/>
        </w:rPr>
        <w:t>розділити дані на навчальну і тестову частини або застосувати крос-валідацію;</w:t>
      </w:r>
    </w:p>
    <w:p>
      <w:pPr>
        <w:pStyle w:val="ListBullet"/>
        <w:spacing w:line="360" w:lineRule="auto"/>
        <w:ind w:left="709" w:hanging="283"/>
      </w:pPr>
      <w:r>
        <w:rPr>
          <w:rFonts w:ascii="Times New Roman" w:hAnsi="Times New Roman"/>
          <w:sz w:val="28"/>
        </w:rPr>
        <w:t>оцінити параметри прогнозних функцій Fθⱼ та довірчі інтервали;</w:t>
      </w:r>
    </w:p>
    <w:p>
      <w:pPr>
        <w:pStyle w:val="ListBullet"/>
        <w:spacing w:line="360" w:lineRule="auto"/>
        <w:ind w:left="709" w:hanging="283"/>
      </w:pPr>
      <w:r>
        <w:rPr>
          <w:rFonts w:ascii="Times New Roman" w:hAnsi="Times New Roman"/>
          <w:sz w:val="28"/>
        </w:rPr>
        <w:t>перевірити MAE, RMSE, R² або інші релевантні метрики точності залежно від типу цільової змінної;</w:t>
      </w:r>
    </w:p>
    <w:p>
      <w:pPr>
        <w:pStyle w:val="ListBullet"/>
        <w:spacing w:line="360" w:lineRule="auto"/>
        <w:ind w:left="709" w:hanging="283"/>
      </w:pPr>
      <w:r>
        <w:rPr>
          <w:rFonts w:ascii="Times New Roman" w:hAnsi="Times New Roman"/>
          <w:sz w:val="28"/>
        </w:rPr>
        <w:t>окремо калібрувати ρ, p, I і правила агрегації ризику;</w:t>
      </w:r>
    </w:p>
    <w:p>
      <w:pPr>
        <w:pStyle w:val="ListBullet"/>
        <w:spacing w:line="360" w:lineRule="auto"/>
        <w:ind w:left="709" w:hanging="283"/>
      </w:pPr>
      <w:r>
        <w:rPr>
          <w:rFonts w:ascii="Times New Roman" w:hAnsi="Times New Roman"/>
          <w:sz w:val="28"/>
        </w:rPr>
        <w:t>провести коригування вибраних вимог і повторне вимірювання;</w:t>
      </w:r>
    </w:p>
    <w:p>
      <w:pPr>
        <w:pStyle w:val="ListBullet"/>
        <w:spacing w:line="360" w:lineRule="auto"/>
        <w:ind w:left="709" w:hanging="283"/>
      </w:pPr>
      <w:r>
        <w:rPr>
          <w:rFonts w:ascii="Times New Roman" w:hAnsi="Times New Roman"/>
          <w:sz w:val="28"/>
        </w:rPr>
        <w:t>перевірити, чи зміна ŷ та Risk узгоджується з фактичним y після реалізації і тестування.</w:t>
      </w:r>
    </w:p>
    <w:p>
      <w:r>
        <w:t>Особливо важливо уникнути методологічної помилки, коли ті самі демонстраційні числа, що були використані для пояснення моделі, потім подаються як експериментальне підтвердження. У дисертації демонстраційний приклад може пояснювати механізм, але висновки щодо точності, прогностичної сили та статистичної значущості повинні ґрунтуватися на незалежних емпіричних даних.</w:t>
      </w:r>
    </w:p>
    <w:p>
      <w:pPr>
        <w:pStyle w:val="Heading1"/>
      </w:pPr>
      <w:r>
        <w:t>15. Узагальнення наскрізного циклу</w:t>
      </w:r>
    </w:p>
    <w:p>
      <w:r>
        <w:t>У розглянутому прикладі повний цикл застосування моделі має такий вигляд:</w:t>
      </w:r>
    </w:p>
    <w:p>
      <w:pPr>
        <w:spacing w:line="276" w:lineRule="auto"/>
        <w:ind w:firstLine="0"/>
        <w:jc w:val="center"/>
      </w:pPr>
      <w:r>
        <w:rPr>
          <w:rFonts w:ascii="Cambria Math" w:hAnsi="Cambria Math"/>
          <w:sz w:val="24"/>
        </w:rPr>
        <w:t>S₁ → Mprocess → Mquality → Ŷ₁ → Mrisk → A → S₂ → Ŷ₂ → R₂ → Implementation → Testing → Y.</w:t>
      </w:r>
    </w:p>
    <w:p>
      <w:r>
        <w:t>Початкова специфікація S₁ містила неоднозначність, неповноту, конфлікти і слабку трасованість. Після вимірювання було отримано профіль якості вимог, а прогнозна модель показала порівняно низькі значення Performance efficiency, Reliability і Security. Ризикова модель локалізувала найбільш небезпечні дефекти: відсутність поведінки при відмові GPS-провайдера та неконкретні вимоги безпеки. Після коригування S₁ → S₂ значення метрик покращилися, прогнозована якість зросла, а оцінені ризики зменшилися. На стадії тестування з’явилися фактичні значення yⱼ, необхідні для перевірки точності прогнозу та подальшого калібрування моделі.</w:t>
      </w:r>
    </w:p>
    <w:p>
      <w:r>
        <w:t>Таким чином, практична цінність підходу полягає не у спробі «вгадати» готову якість продукту до написання коду, а у формуванні відтворюваного механізму раннього контролю: які властивості специфікації вже створюють ризик для конкретних характеристик продукту; які дефекти слід усунути першими; наскільки змінився прогноз після коригування; і наскільки ранній прогноз пізніше підтверджується фактичними вимірюваннями.</w:t>
      </w:r>
    </w:p>
    <w:p>
      <w:pPr>
        <w:pStyle w:val="Heading1"/>
      </w:pPr>
      <w:r>
        <w:t>Джерела для галузевого контексту</w:t>
      </w:r>
    </w:p>
    <w:p>
      <w:pPr>
        <w:spacing w:line="276" w:lineRule="auto"/>
        <w:ind w:firstLine="0" w:left="425"/>
      </w:pPr>
      <w:r>
        <w:rPr>
          <w:rFonts w:ascii="Times New Roman" w:hAnsi="Times New Roman"/>
          <w:sz w:val="24"/>
        </w:rPr>
        <w:t>1. IT Ukraine Association. Ukraine’s IT exports grew by 4.1% in H1 2026. 06.08.2026. https://itukraine.org.ua/en/ukraine-s-it-exports-grew-by-4-1-in-h1-2026/</w:t>
      </w:r>
    </w:p>
    <w:p>
      <w:pPr>
        <w:spacing w:line="276" w:lineRule="auto"/>
        <w:ind w:firstLine="0" w:left="425"/>
      </w:pPr>
      <w:r>
        <w:rPr>
          <w:rFonts w:ascii="Times New Roman" w:hAnsi="Times New Roman"/>
          <w:sz w:val="24"/>
        </w:rPr>
        <w:t>2. IT Ukraine Association. The Code Economy — a comprehensive study on the impact of IT across Ukraine’s industries. 24.04.2026. https://itukraine.org.ua/en/it-ukraine-association-unveils-the-code-economy-a-comprehensive-study-on-the-impact-of-it-across-the-country-s-industries/</w:t>
      </w:r>
    </w:p>
    <w:p>
      <w:pPr>
        <w:spacing w:line="276" w:lineRule="auto"/>
        <w:ind w:firstLine="0" w:left="425"/>
      </w:pPr>
      <w:r>
        <w:rPr>
          <w:rFonts w:ascii="Times New Roman" w:hAnsi="Times New Roman"/>
          <w:sz w:val="24"/>
        </w:rPr>
        <w:t>3. IT Ukraine Association. Ukrainian CyberTech Industry Navigator. https://itukraine.org.ua/en/research/ukrainian-cybertech-industry-navigator/</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360" w:lineRule="auto"/>
      <w:ind w:firstLine="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ind w:firstLine="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ind w:firstLine="0"/>
      <w:jc w:val="left"/>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360" w:lineRule="auto" w:before="0"/>
      <w:ind w:firstLine="0"/>
      <w:contextualSpacing/>
      <w:jc w:val="center"/>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ientificNote">
    <w:name w:val="Scientific Note"/>
    <w:pPr>
      <w:spacing w:line="276" w:lineRule="auto"/>
      <w:ind w:left="397" w:right="397" w:firstLine="0"/>
      <w:jc w:val="both"/>
    </w:pPr>
    <w:rPr>
      <w:rFonts w:ascii="Times New Roman" w:hAnsi="Times New Roman"/>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Приклад застосування моделі раннього оцінювання якості у контексті української ІТ-індустрії</dc:title>
  <dc:subject>Демонстраційний приклад для наукової роботи</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