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2.1. Коректність, повнота та інші властивості вимог як фактори якості програмного забезпечення</w:t>
      </w:r>
    </w:p>
    <w:p>
      <w:pPr>
        <w:jc w:val="both"/>
      </w:pPr>
      <w:r>
        <w:t>У першому розділі встановлено, що вимоги та специфікації є основним інформаційним артефактом, доступним до появи програмної реалізації, а тому можуть бути використані для раннього оцінювання ризиків якості. Перехід від цієї загальної тези до побудови методу оцінювання потребує формалізації самого поняття якості вимог. Для цього необхідно визначити, які властивості характеризують окрему вимогу і набір вимог, які дефекти порушують ці властивості та які з них допускають відтворюване вимірювання.</w:t>
      </w:r>
    </w:p>
    <w:p>
      <w:pPr>
        <w:jc w:val="both"/>
      </w:pPr>
      <w:r>
        <w:t>Якість вимог доцільно розглядати не як єдину абсолютну характеристику документа, а як багатовимірну властивість інформаційного артефакту. ISO/IEC/IEEE 29148:2018 задає процесну та інформаційну основу інженерії вимог упродовж життєвого циклу систем і програмних продуктів [15]. У межах цієї логіки якість вимоги визначається не лише граматичною правильністю формулювання, а її придатністю однозначно передавати необхідну інформацію, бути перевіреною та підтримувати подальші процеси проєктування, реалізації, верифікації і валідації.</w:t>
      </w:r>
    </w:p>
    <w:p>
      <w:pPr>
        <w:jc w:val="both"/>
      </w:pPr>
      <w:r>
        <w:t>Історично проблема вимірювання якості специфікацій досліджувалася задовго до появи сучасного стандарту. А. Девіс та співавтори запропонували розглядати якість SRS через сукупність властивостей і показали, що окремі властивості специфікації можуть бути операціоналізовані через вимірювані ознаки [30]. Сучасні дослідження водночас застерігають від трактування будь-якої формальної ознаки як універсального доказу якості: значущість конкретного дефекту залежить від контексту, типу вимог і того, для якої наступної діяльності використовується специфікація [24, 32].</w:t>
      </w:r>
    </w:p>
    <w:p>
      <w:pPr>
        <w:jc w:val="both"/>
      </w:pPr>
      <w:r>
        <w:t>Для цілей цього дослідження важливо розрізняти принаймні два рівні оцінювання: рівень окремої вимоги та рівень набору вимог (специфікації). На першому рівні аналізується якість формулювання і зміст конкретного елемента. На другому — взаємна узгодженість, покриття необхідних потреб, структура зв’язків, відсутність пропусків і можливість використання сукупності вимог як цілісної основи для подальшого створення програмного продукту. Таке розмежування запобігає ситуації, коли набір локально добре сформульованих вимог помилково вважається повною і якісною специфікацією.</w:t>
      </w:r>
    </w:p>
    <w:p>
      <w:pPr>
        <w:jc w:val="both"/>
      </w:pPr>
      <w:r>
        <w:t>На рівні окремої вимоги як базовий набір доцільно використовувати властивості, узгоджені з ISO/IEC/IEEE 29148:2018: необхідність, доречність, однозначність, повноту, одиничність, здійсненність, перевірюваність, коректність та відповідність установленим правилам подання [15]. Для подальшого моделювання принципово важливо не лише назвати ці властивості, а встановити, який тип свідчення може підтвердити або спростувати кожну з них.</w:t>
      </w:r>
    </w:p>
    <w:p>
      <w:pPr>
        <w:ind w:firstLine="0"/>
        <w:jc w:val="left"/>
        <w:keepNext/>
      </w:pPr>
      <w:r>
        <w:t>Таблиця 2.1 – Властивості окремої вимоги та можливості їх оцінювання</w:t>
      </w:r>
    </w:p>
    <w:tbl>
      <w:tblPr>
        <w:tblStyle w:val="TableGrid"/>
        <w:tblW w:type="auto" w:w="0"/>
        <w:jc w:val="center"/>
        <w:tblLayout w:type="fixed"/>
        <w:tblLook w:firstColumn="1" w:firstRow="1" w:lastColumn="0" w:lastRow="0" w:noHBand="0" w:noVBand="1" w:val="04A0"/>
      </w:tblPr>
      <w:tblGrid>
        <w:gridCol w:w="2480"/>
        <w:gridCol w:w="2480"/>
        <w:gridCol w:w="2480"/>
        <w:gridCol w:w="2480"/>
      </w:tblGrid>
      <w:tr>
        <w:trPr>
          <w:tblHeader w:val="true"/>
          <w:cantSplit/>
        </w:trPr>
        <w:tc>
          <w:tcPr>
            <w:tcW w:type="dxa" w:w="1701"/>
            <w:shd w:fill="D9EAF7"/>
            <w:vAlign w:val="center"/>
            <w:tcMar>
              <w:top w:w="70" w:type="dxa"/>
              <w:start w:w="80" w:type="dxa"/>
              <w:bottom w:w="70" w:type="dxa"/>
              <w:end w:w="80" w:type="dxa"/>
            </w:tcMar>
          </w:tcPr>
          <w:p>
            <w:pPr>
              <w:pStyle w:val="TableText"/>
              <w:jc w:val="center"/>
            </w:pPr>
            <w:r/>
            <w:r>
              <w:rPr>
                <w:rFonts w:ascii="Times New Roman" w:hAnsi="Times New Roman" w:eastAsia="Times New Roman"/>
                <w:b/>
                <w:sz w:val="17"/>
              </w:rPr>
              <w:t>Властивість</w:t>
            </w:r>
          </w:p>
        </w:tc>
        <w:tc>
          <w:tcPr>
            <w:tcW w:type="dxa" w:w="3118"/>
            <w:shd w:fill="D9EAF7"/>
            <w:vAlign w:val="center"/>
            <w:tcMar>
              <w:top w:w="70" w:type="dxa"/>
              <w:start w:w="80" w:type="dxa"/>
              <w:bottom w:w="70" w:type="dxa"/>
              <w:end w:w="80" w:type="dxa"/>
            </w:tcMar>
          </w:tcPr>
          <w:p>
            <w:pPr>
              <w:pStyle w:val="TableText"/>
              <w:jc w:val="center"/>
            </w:pPr>
            <w:r/>
            <w:r>
              <w:rPr>
                <w:rFonts w:ascii="Times New Roman" w:hAnsi="Times New Roman" w:eastAsia="Times New Roman"/>
                <w:b/>
                <w:sz w:val="17"/>
              </w:rPr>
              <w:t>Зміст</w:t>
            </w:r>
          </w:p>
        </w:tc>
        <w:tc>
          <w:tcPr>
            <w:tcW w:type="dxa" w:w="3402"/>
            <w:shd w:fill="D9EAF7"/>
            <w:vAlign w:val="center"/>
            <w:tcMar>
              <w:top w:w="70" w:type="dxa"/>
              <w:start w:w="80" w:type="dxa"/>
              <w:bottom w:w="70" w:type="dxa"/>
              <w:end w:w="80" w:type="dxa"/>
            </w:tcMar>
          </w:tcPr>
          <w:p>
            <w:pPr>
              <w:pStyle w:val="TableText"/>
              <w:jc w:val="center"/>
            </w:pPr>
            <w:r/>
            <w:r>
              <w:rPr>
                <w:rFonts w:ascii="Times New Roman" w:hAnsi="Times New Roman" w:eastAsia="Times New Roman"/>
                <w:b/>
                <w:sz w:val="17"/>
              </w:rPr>
              <w:t>Можливе свідчення</w:t>
            </w:r>
          </w:p>
        </w:tc>
        <w:tc>
          <w:tcPr>
            <w:tcW w:type="dxa" w:w="1474"/>
            <w:shd w:fill="D9EAF7"/>
            <w:vAlign w:val="center"/>
            <w:tcMar>
              <w:top w:w="70" w:type="dxa"/>
              <w:start w:w="80" w:type="dxa"/>
              <w:bottom w:w="70" w:type="dxa"/>
              <w:end w:w="80" w:type="dxa"/>
            </w:tcMar>
          </w:tcPr>
          <w:p>
            <w:pPr>
              <w:pStyle w:val="TableText"/>
              <w:jc w:val="center"/>
            </w:pPr>
            <w:r/>
            <w:r>
              <w:rPr>
                <w:rFonts w:ascii="Times New Roman" w:hAnsi="Times New Roman" w:eastAsia="Times New Roman"/>
                <w:b/>
                <w:sz w:val="17"/>
              </w:rPr>
              <w:t>Спостережуваність</w:t>
            </w:r>
          </w:p>
        </w:tc>
      </w:tr>
      <w:tr>
        <w:trPr>
          <w:cantSplit/>
        </w:trPr>
        <w:tc>
          <w:tcPr>
            <w:tcW w:type="dxa" w:w="1701"/>
            <w:vAlign w:val="top"/>
            <w:tcMar>
              <w:top w:w="70" w:type="dxa"/>
              <w:start w:w="80" w:type="dxa"/>
              <w:bottom w:w="70" w:type="dxa"/>
              <w:end w:w="80" w:type="dxa"/>
            </w:tcMar>
          </w:tcPr>
          <w:p>
            <w:pPr>
              <w:pStyle w:val="TableText"/>
              <w:jc w:val="left"/>
            </w:pPr>
            <w:r/>
            <w:r>
              <w:rPr>
                <w:rFonts w:ascii="Times New Roman" w:hAnsi="Times New Roman" w:eastAsia="Times New Roman"/>
                <w:sz w:val="17"/>
              </w:rPr>
              <w:t>Необхідність</w:t>
            </w:r>
          </w:p>
        </w:tc>
        <w:tc>
          <w:tcPr>
            <w:tcW w:type="dxa" w:w="3118"/>
            <w:vAlign w:val="top"/>
            <w:tcMar>
              <w:top w:w="70" w:type="dxa"/>
              <w:start w:w="80" w:type="dxa"/>
              <w:bottom w:w="70" w:type="dxa"/>
              <w:end w:w="80" w:type="dxa"/>
            </w:tcMar>
          </w:tcPr>
          <w:p>
            <w:pPr>
              <w:pStyle w:val="TableText"/>
              <w:jc w:val="left"/>
            </w:pPr>
            <w:r/>
            <w:r>
              <w:rPr>
                <w:rFonts w:ascii="Times New Roman" w:hAnsi="Times New Roman" w:eastAsia="Times New Roman"/>
                <w:sz w:val="17"/>
              </w:rPr>
              <w:t>Вимога представляє реальну потребу, мету або обмеження, без якого рішення втрачає необхідну властивість.</w:t>
            </w:r>
          </w:p>
        </w:tc>
        <w:tc>
          <w:tcPr>
            <w:tcW w:type="dxa" w:w="3402"/>
            <w:vAlign w:val="top"/>
            <w:tcMar>
              <w:top w:w="70" w:type="dxa"/>
              <w:start w:w="80" w:type="dxa"/>
              <w:bottom w:w="70" w:type="dxa"/>
              <w:end w:w="80" w:type="dxa"/>
            </w:tcMar>
          </w:tcPr>
          <w:p>
            <w:pPr>
              <w:pStyle w:val="TableText"/>
              <w:jc w:val="left"/>
            </w:pPr>
            <w:r/>
            <w:r>
              <w:rPr>
                <w:rFonts w:ascii="Times New Roman" w:hAnsi="Times New Roman" w:eastAsia="Times New Roman"/>
                <w:sz w:val="17"/>
              </w:rPr>
              <w:t>Посилання на джерело/ціль; обґрунтування зацікавленої сторони; рішення про включення.</w:t>
            </w:r>
          </w:p>
        </w:tc>
        <w:tc>
          <w:tcPr>
            <w:tcW w:type="dxa" w:w="1474"/>
            <w:vAlign w:val="top"/>
            <w:tcMar>
              <w:top w:w="70" w:type="dxa"/>
              <w:start w:w="80" w:type="dxa"/>
              <w:bottom w:w="70" w:type="dxa"/>
              <w:end w:w="80" w:type="dxa"/>
            </w:tcMar>
          </w:tcPr>
          <w:p>
            <w:pPr>
              <w:pStyle w:val="TableText"/>
              <w:jc w:val="left"/>
            </w:pPr>
            <w:r/>
            <w:r>
              <w:rPr>
                <w:rFonts w:ascii="Times New Roman" w:hAnsi="Times New Roman" w:eastAsia="Times New Roman"/>
                <w:sz w:val="17"/>
              </w:rPr>
              <w:t>Переважно контекстна</w:t>
            </w:r>
          </w:p>
        </w:tc>
      </w:tr>
      <w:tr>
        <w:trPr>
          <w:cantSplit/>
        </w:trPr>
        <w:tc>
          <w:tcPr>
            <w:tcW w:type="dxa" w:w="1701"/>
            <w:vAlign w:val="top"/>
            <w:tcMar>
              <w:top w:w="70" w:type="dxa"/>
              <w:start w:w="80" w:type="dxa"/>
              <w:bottom w:w="70" w:type="dxa"/>
              <w:end w:w="80" w:type="dxa"/>
            </w:tcMar>
          </w:tcPr>
          <w:p>
            <w:pPr>
              <w:pStyle w:val="TableText"/>
              <w:jc w:val="left"/>
            </w:pPr>
            <w:r/>
            <w:r>
              <w:rPr>
                <w:rFonts w:ascii="Times New Roman" w:hAnsi="Times New Roman" w:eastAsia="Times New Roman"/>
                <w:sz w:val="17"/>
              </w:rPr>
              <w:t>Доречність</w:t>
            </w:r>
          </w:p>
        </w:tc>
        <w:tc>
          <w:tcPr>
            <w:tcW w:type="dxa" w:w="3118"/>
            <w:vAlign w:val="top"/>
            <w:tcMar>
              <w:top w:w="70" w:type="dxa"/>
              <w:start w:w="80" w:type="dxa"/>
              <w:bottom w:w="70" w:type="dxa"/>
              <w:end w:w="80" w:type="dxa"/>
            </w:tcMar>
          </w:tcPr>
          <w:p>
            <w:pPr>
              <w:pStyle w:val="TableText"/>
              <w:jc w:val="left"/>
            </w:pPr>
            <w:r/>
            <w:r>
              <w:rPr>
                <w:rFonts w:ascii="Times New Roman" w:hAnsi="Times New Roman" w:eastAsia="Times New Roman"/>
                <w:sz w:val="17"/>
              </w:rPr>
              <w:t>Вимога належить до предметної області й рівня системи, не нав’язує зайвої реалізації та відповідає межам проєкту.</w:t>
            </w:r>
          </w:p>
        </w:tc>
        <w:tc>
          <w:tcPr>
            <w:tcW w:type="dxa" w:w="3402"/>
            <w:vAlign w:val="top"/>
            <w:tcMar>
              <w:top w:w="70" w:type="dxa"/>
              <w:start w:w="80" w:type="dxa"/>
              <w:bottom w:w="70" w:type="dxa"/>
              <w:end w:w="80" w:type="dxa"/>
            </w:tcMar>
          </w:tcPr>
          <w:p>
            <w:pPr>
              <w:pStyle w:val="TableText"/>
              <w:jc w:val="left"/>
            </w:pPr>
            <w:r/>
            <w:r>
              <w:rPr>
                <w:rFonts w:ascii="Times New Roman" w:hAnsi="Times New Roman" w:eastAsia="Times New Roman"/>
                <w:sz w:val="17"/>
              </w:rPr>
              <w:t>Зв’язок із цілями, scope та архітектурними обмеженнями.</w:t>
            </w:r>
          </w:p>
        </w:tc>
        <w:tc>
          <w:tcPr>
            <w:tcW w:type="dxa" w:w="1474"/>
            <w:vAlign w:val="top"/>
            <w:tcMar>
              <w:top w:w="70" w:type="dxa"/>
              <w:start w:w="80" w:type="dxa"/>
              <w:bottom w:w="70" w:type="dxa"/>
              <w:end w:w="80" w:type="dxa"/>
            </w:tcMar>
          </w:tcPr>
          <w:p>
            <w:pPr>
              <w:pStyle w:val="TableText"/>
              <w:jc w:val="left"/>
            </w:pPr>
            <w:r/>
            <w:r>
              <w:rPr>
                <w:rFonts w:ascii="Times New Roman" w:hAnsi="Times New Roman" w:eastAsia="Times New Roman"/>
                <w:sz w:val="17"/>
              </w:rPr>
              <w:t>Контекстна</w:t>
            </w:r>
          </w:p>
        </w:tc>
      </w:tr>
      <w:tr>
        <w:trPr>
          <w:cantSplit/>
        </w:trPr>
        <w:tc>
          <w:tcPr>
            <w:tcW w:type="dxa" w:w="1701"/>
            <w:vAlign w:val="top"/>
            <w:tcMar>
              <w:top w:w="70" w:type="dxa"/>
              <w:start w:w="80" w:type="dxa"/>
              <w:bottom w:w="70" w:type="dxa"/>
              <w:end w:w="80" w:type="dxa"/>
            </w:tcMar>
          </w:tcPr>
          <w:p>
            <w:pPr>
              <w:pStyle w:val="TableText"/>
              <w:jc w:val="left"/>
            </w:pPr>
            <w:r/>
            <w:r>
              <w:rPr>
                <w:rFonts w:ascii="Times New Roman" w:hAnsi="Times New Roman" w:eastAsia="Times New Roman"/>
                <w:sz w:val="17"/>
              </w:rPr>
              <w:t>Однозначність</w:t>
            </w:r>
          </w:p>
        </w:tc>
        <w:tc>
          <w:tcPr>
            <w:tcW w:type="dxa" w:w="3118"/>
            <w:vAlign w:val="top"/>
            <w:tcMar>
              <w:top w:w="70" w:type="dxa"/>
              <w:start w:w="80" w:type="dxa"/>
              <w:bottom w:w="70" w:type="dxa"/>
              <w:end w:w="80" w:type="dxa"/>
            </w:tcMar>
          </w:tcPr>
          <w:p>
            <w:pPr>
              <w:pStyle w:val="TableText"/>
              <w:jc w:val="left"/>
            </w:pPr>
            <w:r/>
            <w:r>
              <w:rPr>
                <w:rFonts w:ascii="Times New Roman" w:hAnsi="Times New Roman" w:eastAsia="Times New Roman"/>
                <w:sz w:val="17"/>
              </w:rPr>
              <w:t>Формулювання допускає одну обґрунтовану інтерпретацію в заданому контексті.</w:t>
            </w:r>
          </w:p>
        </w:tc>
        <w:tc>
          <w:tcPr>
            <w:tcW w:type="dxa" w:w="3402"/>
            <w:vAlign w:val="top"/>
            <w:tcMar>
              <w:top w:w="70" w:type="dxa"/>
              <w:start w:w="80" w:type="dxa"/>
              <w:bottom w:w="70" w:type="dxa"/>
              <w:end w:w="80" w:type="dxa"/>
            </w:tcMar>
          </w:tcPr>
          <w:p>
            <w:pPr>
              <w:pStyle w:val="TableText"/>
              <w:jc w:val="left"/>
            </w:pPr>
            <w:r/>
            <w:r>
              <w:rPr>
                <w:rFonts w:ascii="Times New Roman" w:hAnsi="Times New Roman" w:eastAsia="Times New Roman"/>
                <w:sz w:val="17"/>
              </w:rPr>
              <w:t>Експертне узгодження; відсутність двозначних термінів; стабільна інтерпретація різними рецензентами.</w:t>
            </w:r>
          </w:p>
        </w:tc>
        <w:tc>
          <w:tcPr>
            <w:tcW w:type="dxa" w:w="1474"/>
            <w:vAlign w:val="top"/>
            <w:tcMar>
              <w:top w:w="70" w:type="dxa"/>
              <w:start w:w="80" w:type="dxa"/>
              <w:bottom w:w="70" w:type="dxa"/>
              <w:end w:w="80" w:type="dxa"/>
            </w:tcMar>
          </w:tcPr>
          <w:p>
            <w:pPr>
              <w:pStyle w:val="TableText"/>
              <w:jc w:val="left"/>
            </w:pPr>
            <w:r/>
            <w:r>
              <w:rPr>
                <w:rFonts w:ascii="Times New Roman" w:hAnsi="Times New Roman" w:eastAsia="Times New Roman"/>
                <w:sz w:val="17"/>
              </w:rPr>
              <w:t>Частково автоматизована</w:t>
            </w:r>
          </w:p>
        </w:tc>
      </w:tr>
      <w:tr>
        <w:trPr>
          <w:cantSplit/>
        </w:trPr>
        <w:tc>
          <w:tcPr>
            <w:tcW w:type="dxa" w:w="1701"/>
            <w:vAlign w:val="top"/>
            <w:tcMar>
              <w:top w:w="70" w:type="dxa"/>
              <w:start w:w="80" w:type="dxa"/>
              <w:bottom w:w="70" w:type="dxa"/>
              <w:end w:w="80" w:type="dxa"/>
            </w:tcMar>
          </w:tcPr>
          <w:p>
            <w:pPr>
              <w:pStyle w:val="TableText"/>
              <w:jc w:val="left"/>
            </w:pPr>
            <w:r/>
            <w:r>
              <w:rPr>
                <w:rFonts w:ascii="Times New Roman" w:hAnsi="Times New Roman" w:eastAsia="Times New Roman"/>
                <w:sz w:val="17"/>
              </w:rPr>
              <w:t>Повнота</w:t>
            </w:r>
          </w:p>
        </w:tc>
        <w:tc>
          <w:tcPr>
            <w:tcW w:type="dxa" w:w="3118"/>
            <w:vAlign w:val="top"/>
            <w:tcMar>
              <w:top w:w="70" w:type="dxa"/>
              <w:start w:w="80" w:type="dxa"/>
              <w:bottom w:w="70" w:type="dxa"/>
              <w:end w:w="80" w:type="dxa"/>
            </w:tcMar>
          </w:tcPr>
          <w:p>
            <w:pPr>
              <w:pStyle w:val="TableText"/>
              <w:jc w:val="left"/>
            </w:pPr>
            <w:r/>
            <w:r>
              <w:rPr>
                <w:rFonts w:ascii="Times New Roman" w:hAnsi="Times New Roman" w:eastAsia="Times New Roman"/>
                <w:sz w:val="17"/>
              </w:rPr>
              <w:t>Вимога містить достатню інформацію для розуміння умови, очікуваної реакції та критерію виконання.</w:t>
            </w:r>
          </w:p>
        </w:tc>
        <w:tc>
          <w:tcPr>
            <w:tcW w:type="dxa" w:w="3402"/>
            <w:vAlign w:val="top"/>
            <w:tcMar>
              <w:top w:w="70" w:type="dxa"/>
              <w:start w:w="80" w:type="dxa"/>
              <w:bottom w:w="70" w:type="dxa"/>
              <w:end w:w="80" w:type="dxa"/>
            </w:tcMar>
          </w:tcPr>
          <w:p>
            <w:pPr>
              <w:pStyle w:val="TableText"/>
              <w:jc w:val="left"/>
            </w:pPr>
            <w:r/>
            <w:r>
              <w:rPr>
                <w:rFonts w:ascii="Times New Roman" w:hAnsi="Times New Roman" w:eastAsia="Times New Roman"/>
                <w:sz w:val="17"/>
              </w:rPr>
              <w:t>Наявність необхідних складників шаблону; визначені умови/значення/межі.</w:t>
            </w:r>
          </w:p>
        </w:tc>
        <w:tc>
          <w:tcPr>
            <w:tcW w:type="dxa" w:w="1474"/>
            <w:vAlign w:val="top"/>
            <w:tcMar>
              <w:top w:w="70" w:type="dxa"/>
              <w:start w:w="80" w:type="dxa"/>
              <w:bottom w:w="70" w:type="dxa"/>
              <w:end w:w="80" w:type="dxa"/>
            </w:tcMar>
          </w:tcPr>
          <w:p>
            <w:pPr>
              <w:pStyle w:val="TableText"/>
              <w:jc w:val="left"/>
            </w:pPr>
            <w:r/>
            <w:r>
              <w:rPr>
                <w:rFonts w:ascii="Times New Roman" w:hAnsi="Times New Roman" w:eastAsia="Times New Roman"/>
                <w:sz w:val="17"/>
              </w:rPr>
              <w:t>Частково автоматизована</w:t>
            </w:r>
          </w:p>
        </w:tc>
      </w:tr>
      <w:tr>
        <w:trPr>
          <w:cantSplit/>
        </w:trPr>
        <w:tc>
          <w:tcPr>
            <w:tcW w:type="dxa" w:w="1701"/>
            <w:vAlign w:val="top"/>
            <w:tcMar>
              <w:top w:w="70" w:type="dxa"/>
              <w:start w:w="80" w:type="dxa"/>
              <w:bottom w:w="70" w:type="dxa"/>
              <w:end w:w="80" w:type="dxa"/>
            </w:tcMar>
          </w:tcPr>
          <w:p>
            <w:pPr>
              <w:pStyle w:val="TableText"/>
              <w:jc w:val="left"/>
            </w:pPr>
            <w:r/>
            <w:r>
              <w:rPr>
                <w:rFonts w:ascii="Times New Roman" w:hAnsi="Times New Roman" w:eastAsia="Times New Roman"/>
                <w:sz w:val="17"/>
              </w:rPr>
              <w:t>Одиничність</w:t>
            </w:r>
          </w:p>
        </w:tc>
        <w:tc>
          <w:tcPr>
            <w:tcW w:type="dxa" w:w="3118"/>
            <w:vAlign w:val="top"/>
            <w:tcMar>
              <w:top w:w="70" w:type="dxa"/>
              <w:start w:w="80" w:type="dxa"/>
              <w:bottom w:w="70" w:type="dxa"/>
              <w:end w:w="80" w:type="dxa"/>
            </w:tcMar>
          </w:tcPr>
          <w:p>
            <w:pPr>
              <w:pStyle w:val="TableText"/>
              <w:jc w:val="left"/>
            </w:pPr>
            <w:r/>
            <w:r>
              <w:rPr>
                <w:rFonts w:ascii="Times New Roman" w:hAnsi="Times New Roman" w:eastAsia="Times New Roman"/>
                <w:sz w:val="17"/>
              </w:rPr>
              <w:t>Одна вимога задає одну логічно самостійну потребу або властивість.</w:t>
            </w:r>
          </w:p>
        </w:tc>
        <w:tc>
          <w:tcPr>
            <w:tcW w:type="dxa" w:w="3402"/>
            <w:vAlign w:val="top"/>
            <w:tcMar>
              <w:top w:w="70" w:type="dxa"/>
              <w:start w:w="80" w:type="dxa"/>
              <w:bottom w:w="70" w:type="dxa"/>
              <w:end w:w="80" w:type="dxa"/>
            </w:tcMar>
          </w:tcPr>
          <w:p>
            <w:pPr>
              <w:pStyle w:val="TableText"/>
              <w:jc w:val="left"/>
            </w:pPr>
            <w:r/>
            <w:r>
              <w:rPr>
                <w:rFonts w:ascii="Times New Roman" w:hAnsi="Times New Roman" w:eastAsia="Times New Roman"/>
                <w:sz w:val="17"/>
              </w:rPr>
              <w:t>Відсутність незалежних дій чи умов, об’єднаних в одному реченні без необхідного зв’язку.</w:t>
            </w:r>
          </w:p>
        </w:tc>
        <w:tc>
          <w:tcPr>
            <w:tcW w:type="dxa" w:w="1474"/>
            <w:vAlign w:val="top"/>
            <w:tcMar>
              <w:top w:w="70" w:type="dxa"/>
              <w:start w:w="80" w:type="dxa"/>
              <w:bottom w:w="70" w:type="dxa"/>
              <w:end w:w="80" w:type="dxa"/>
            </w:tcMar>
          </w:tcPr>
          <w:p>
            <w:pPr>
              <w:pStyle w:val="TableText"/>
              <w:jc w:val="left"/>
            </w:pPr>
            <w:r/>
            <w:r>
              <w:rPr>
                <w:rFonts w:ascii="Times New Roman" w:hAnsi="Times New Roman" w:eastAsia="Times New Roman"/>
                <w:sz w:val="17"/>
              </w:rPr>
              <w:t>Частково автоматизована</w:t>
            </w:r>
          </w:p>
        </w:tc>
      </w:tr>
      <w:tr>
        <w:trPr>
          <w:cantSplit/>
        </w:trPr>
        <w:tc>
          <w:tcPr>
            <w:tcW w:type="dxa" w:w="1701"/>
            <w:vAlign w:val="top"/>
            <w:tcMar>
              <w:top w:w="70" w:type="dxa"/>
              <w:start w:w="80" w:type="dxa"/>
              <w:bottom w:w="70" w:type="dxa"/>
              <w:end w:w="80" w:type="dxa"/>
            </w:tcMar>
          </w:tcPr>
          <w:p>
            <w:pPr>
              <w:pStyle w:val="TableText"/>
              <w:jc w:val="left"/>
            </w:pPr>
            <w:r/>
            <w:r>
              <w:rPr>
                <w:rFonts w:ascii="Times New Roman" w:hAnsi="Times New Roman" w:eastAsia="Times New Roman"/>
                <w:sz w:val="17"/>
              </w:rPr>
              <w:t>Здійсненність</w:t>
            </w:r>
          </w:p>
        </w:tc>
        <w:tc>
          <w:tcPr>
            <w:tcW w:type="dxa" w:w="3118"/>
            <w:vAlign w:val="top"/>
            <w:tcMar>
              <w:top w:w="70" w:type="dxa"/>
              <w:start w:w="80" w:type="dxa"/>
              <w:bottom w:w="70" w:type="dxa"/>
              <w:end w:w="80" w:type="dxa"/>
            </w:tcMar>
          </w:tcPr>
          <w:p>
            <w:pPr>
              <w:pStyle w:val="TableText"/>
              <w:jc w:val="left"/>
            </w:pPr>
            <w:r/>
            <w:r>
              <w:rPr>
                <w:rFonts w:ascii="Times New Roman" w:hAnsi="Times New Roman" w:eastAsia="Times New Roman"/>
                <w:sz w:val="17"/>
              </w:rPr>
              <w:t>Вимога може бути реалізована з урахуванням технічних, часових, ресурсних і нормативних обмежень.</w:t>
            </w:r>
          </w:p>
        </w:tc>
        <w:tc>
          <w:tcPr>
            <w:tcW w:type="dxa" w:w="3402"/>
            <w:vAlign w:val="top"/>
            <w:tcMar>
              <w:top w:w="70" w:type="dxa"/>
              <w:start w:w="80" w:type="dxa"/>
              <w:bottom w:w="70" w:type="dxa"/>
              <w:end w:w="80" w:type="dxa"/>
            </w:tcMar>
          </w:tcPr>
          <w:p>
            <w:pPr>
              <w:pStyle w:val="TableText"/>
              <w:jc w:val="left"/>
            </w:pPr>
            <w:r/>
            <w:r>
              <w:rPr>
                <w:rFonts w:ascii="Times New Roman" w:hAnsi="Times New Roman" w:eastAsia="Times New Roman"/>
                <w:sz w:val="17"/>
              </w:rPr>
              <w:t>Технічне обґрунтування; оцінка ресурсів; прототип/модель; експертна оцінка.</w:t>
            </w:r>
          </w:p>
        </w:tc>
        <w:tc>
          <w:tcPr>
            <w:tcW w:type="dxa" w:w="1474"/>
            <w:vAlign w:val="top"/>
            <w:tcMar>
              <w:top w:w="70" w:type="dxa"/>
              <w:start w:w="80" w:type="dxa"/>
              <w:bottom w:w="70" w:type="dxa"/>
              <w:end w:w="80" w:type="dxa"/>
            </w:tcMar>
          </w:tcPr>
          <w:p>
            <w:pPr>
              <w:pStyle w:val="TableText"/>
              <w:jc w:val="left"/>
            </w:pPr>
            <w:r/>
            <w:r>
              <w:rPr>
                <w:rFonts w:ascii="Times New Roman" w:hAnsi="Times New Roman" w:eastAsia="Times New Roman"/>
                <w:sz w:val="17"/>
              </w:rPr>
              <w:t>Переважно контекстна</w:t>
            </w:r>
          </w:p>
        </w:tc>
      </w:tr>
      <w:tr>
        <w:trPr>
          <w:cantSplit/>
        </w:trPr>
        <w:tc>
          <w:tcPr>
            <w:tcW w:type="dxa" w:w="1701"/>
            <w:vAlign w:val="top"/>
            <w:tcMar>
              <w:top w:w="70" w:type="dxa"/>
              <w:start w:w="80" w:type="dxa"/>
              <w:bottom w:w="70" w:type="dxa"/>
              <w:end w:w="80" w:type="dxa"/>
            </w:tcMar>
          </w:tcPr>
          <w:p>
            <w:pPr>
              <w:pStyle w:val="TableText"/>
              <w:jc w:val="left"/>
            </w:pPr>
            <w:r/>
            <w:r>
              <w:rPr>
                <w:rFonts w:ascii="Times New Roman" w:hAnsi="Times New Roman" w:eastAsia="Times New Roman"/>
                <w:sz w:val="17"/>
              </w:rPr>
              <w:t>Перевірюваність</w:t>
            </w:r>
          </w:p>
        </w:tc>
        <w:tc>
          <w:tcPr>
            <w:tcW w:type="dxa" w:w="3118"/>
            <w:vAlign w:val="top"/>
            <w:tcMar>
              <w:top w:w="70" w:type="dxa"/>
              <w:start w:w="80" w:type="dxa"/>
              <w:bottom w:w="70" w:type="dxa"/>
              <w:end w:w="80" w:type="dxa"/>
            </w:tcMar>
          </w:tcPr>
          <w:p>
            <w:pPr>
              <w:pStyle w:val="TableText"/>
              <w:jc w:val="left"/>
            </w:pPr>
            <w:r/>
            <w:r>
              <w:rPr>
                <w:rFonts w:ascii="Times New Roman" w:hAnsi="Times New Roman" w:eastAsia="Times New Roman"/>
                <w:sz w:val="17"/>
              </w:rPr>
              <w:t>Існує відтворюваний спосіб встановити факт виконання вимоги.</w:t>
            </w:r>
          </w:p>
        </w:tc>
        <w:tc>
          <w:tcPr>
            <w:tcW w:type="dxa" w:w="3402"/>
            <w:vAlign w:val="top"/>
            <w:tcMar>
              <w:top w:w="70" w:type="dxa"/>
              <w:start w:w="80" w:type="dxa"/>
              <w:bottom w:w="70" w:type="dxa"/>
              <w:end w:w="80" w:type="dxa"/>
            </w:tcMar>
          </w:tcPr>
          <w:p>
            <w:pPr>
              <w:pStyle w:val="TableText"/>
              <w:jc w:val="left"/>
            </w:pPr>
            <w:r/>
            <w:r>
              <w:rPr>
                <w:rFonts w:ascii="Times New Roman" w:hAnsi="Times New Roman" w:eastAsia="Times New Roman"/>
                <w:sz w:val="17"/>
              </w:rPr>
              <w:t>Критерій приймання, поріг, тестовий оракул, метод аналізу або інспекції.</w:t>
            </w:r>
          </w:p>
        </w:tc>
        <w:tc>
          <w:tcPr>
            <w:tcW w:type="dxa" w:w="1474"/>
            <w:vAlign w:val="top"/>
            <w:tcMar>
              <w:top w:w="70" w:type="dxa"/>
              <w:start w:w="80" w:type="dxa"/>
              <w:bottom w:w="70" w:type="dxa"/>
              <w:end w:w="80" w:type="dxa"/>
            </w:tcMar>
          </w:tcPr>
          <w:p>
            <w:pPr>
              <w:pStyle w:val="TableText"/>
              <w:jc w:val="left"/>
            </w:pPr>
            <w:r/>
            <w:r>
              <w:rPr>
                <w:rFonts w:ascii="Times New Roman" w:hAnsi="Times New Roman" w:eastAsia="Times New Roman"/>
                <w:sz w:val="17"/>
              </w:rPr>
              <w:t>Структурно-контекстна</w:t>
            </w:r>
          </w:p>
        </w:tc>
      </w:tr>
      <w:tr>
        <w:trPr>
          <w:cantSplit/>
        </w:trPr>
        <w:tc>
          <w:tcPr>
            <w:tcW w:type="dxa" w:w="1701"/>
            <w:vAlign w:val="top"/>
            <w:tcMar>
              <w:top w:w="70" w:type="dxa"/>
              <w:start w:w="80" w:type="dxa"/>
              <w:bottom w:w="70" w:type="dxa"/>
              <w:end w:w="80" w:type="dxa"/>
            </w:tcMar>
          </w:tcPr>
          <w:p>
            <w:pPr>
              <w:pStyle w:val="TableText"/>
              <w:jc w:val="left"/>
            </w:pPr>
            <w:r/>
            <w:r>
              <w:rPr>
                <w:rFonts w:ascii="Times New Roman" w:hAnsi="Times New Roman" w:eastAsia="Times New Roman"/>
                <w:sz w:val="17"/>
              </w:rPr>
              <w:t>Коректність</w:t>
            </w:r>
          </w:p>
        </w:tc>
        <w:tc>
          <w:tcPr>
            <w:tcW w:type="dxa" w:w="3118"/>
            <w:vAlign w:val="top"/>
            <w:tcMar>
              <w:top w:w="70" w:type="dxa"/>
              <w:start w:w="80" w:type="dxa"/>
              <w:bottom w:w="70" w:type="dxa"/>
              <w:end w:w="80" w:type="dxa"/>
            </w:tcMar>
          </w:tcPr>
          <w:p>
            <w:pPr>
              <w:pStyle w:val="TableText"/>
              <w:jc w:val="left"/>
            </w:pPr>
            <w:r/>
            <w:r>
              <w:rPr>
                <w:rFonts w:ascii="Times New Roman" w:hAnsi="Times New Roman" w:eastAsia="Times New Roman"/>
                <w:sz w:val="17"/>
              </w:rPr>
              <w:t>Вимога правильно відображає потребу, правило або обмеження предметної області.</w:t>
            </w:r>
          </w:p>
        </w:tc>
        <w:tc>
          <w:tcPr>
            <w:tcW w:type="dxa" w:w="3402"/>
            <w:vAlign w:val="top"/>
            <w:tcMar>
              <w:top w:w="70" w:type="dxa"/>
              <w:start w:w="80" w:type="dxa"/>
              <w:bottom w:w="70" w:type="dxa"/>
              <w:end w:w="80" w:type="dxa"/>
            </w:tcMar>
          </w:tcPr>
          <w:p>
            <w:pPr>
              <w:pStyle w:val="TableText"/>
              <w:jc w:val="left"/>
            </w:pPr>
            <w:r/>
            <w:r>
              <w:rPr>
                <w:rFonts w:ascii="Times New Roman" w:hAnsi="Times New Roman" w:eastAsia="Times New Roman"/>
                <w:sz w:val="17"/>
              </w:rPr>
              <w:t>Підтвердження власником вимоги; доменні джерела; нормативні документи.</w:t>
            </w:r>
          </w:p>
        </w:tc>
        <w:tc>
          <w:tcPr>
            <w:tcW w:type="dxa" w:w="1474"/>
            <w:vAlign w:val="top"/>
            <w:tcMar>
              <w:top w:w="70" w:type="dxa"/>
              <w:start w:w="80" w:type="dxa"/>
              <w:bottom w:w="70" w:type="dxa"/>
              <w:end w:w="80" w:type="dxa"/>
            </w:tcMar>
          </w:tcPr>
          <w:p>
            <w:pPr>
              <w:pStyle w:val="TableText"/>
              <w:jc w:val="left"/>
            </w:pPr>
            <w:r/>
            <w:r>
              <w:rPr>
                <w:rFonts w:ascii="Times New Roman" w:hAnsi="Times New Roman" w:eastAsia="Times New Roman"/>
                <w:sz w:val="17"/>
              </w:rPr>
              <w:t>Контекстна</w:t>
            </w:r>
          </w:p>
        </w:tc>
      </w:tr>
      <w:tr>
        <w:trPr>
          <w:cantSplit/>
        </w:trPr>
        <w:tc>
          <w:tcPr>
            <w:tcW w:type="dxa" w:w="1701"/>
            <w:vAlign w:val="top"/>
            <w:tcMar>
              <w:top w:w="70" w:type="dxa"/>
              <w:start w:w="80" w:type="dxa"/>
              <w:bottom w:w="70" w:type="dxa"/>
              <w:end w:w="80" w:type="dxa"/>
            </w:tcMar>
          </w:tcPr>
          <w:p>
            <w:pPr>
              <w:pStyle w:val="TableText"/>
              <w:jc w:val="left"/>
            </w:pPr>
            <w:r/>
            <w:r>
              <w:rPr>
                <w:rFonts w:ascii="Times New Roman" w:hAnsi="Times New Roman" w:eastAsia="Times New Roman"/>
                <w:sz w:val="17"/>
              </w:rPr>
              <w:t>Відповідність правилам подання</w:t>
            </w:r>
          </w:p>
        </w:tc>
        <w:tc>
          <w:tcPr>
            <w:tcW w:type="dxa" w:w="3118"/>
            <w:vAlign w:val="top"/>
            <w:tcMar>
              <w:top w:w="70" w:type="dxa"/>
              <w:start w:w="80" w:type="dxa"/>
              <w:bottom w:w="70" w:type="dxa"/>
              <w:end w:w="80" w:type="dxa"/>
            </w:tcMar>
          </w:tcPr>
          <w:p>
            <w:pPr>
              <w:pStyle w:val="TableText"/>
              <w:jc w:val="left"/>
            </w:pPr>
            <w:r/>
            <w:r>
              <w:rPr>
                <w:rFonts w:ascii="Times New Roman" w:hAnsi="Times New Roman" w:eastAsia="Times New Roman"/>
                <w:sz w:val="17"/>
              </w:rPr>
              <w:t>Вимога узгоджена з прийнятим синтаксисом, шаблоном, термінологією та правилами документування.</w:t>
            </w:r>
          </w:p>
        </w:tc>
        <w:tc>
          <w:tcPr>
            <w:tcW w:type="dxa" w:w="3402"/>
            <w:vAlign w:val="top"/>
            <w:tcMar>
              <w:top w:w="70" w:type="dxa"/>
              <w:start w:w="80" w:type="dxa"/>
              <w:bottom w:w="70" w:type="dxa"/>
              <w:end w:w="80" w:type="dxa"/>
            </w:tcMar>
          </w:tcPr>
          <w:p>
            <w:pPr>
              <w:pStyle w:val="TableText"/>
              <w:jc w:val="left"/>
            </w:pPr>
            <w:r/>
            <w:r>
              <w:rPr>
                <w:rFonts w:ascii="Times New Roman" w:hAnsi="Times New Roman" w:eastAsia="Times New Roman"/>
                <w:sz w:val="17"/>
              </w:rPr>
              <w:t>Автоматичні правила, шаблони, словники, style guide.</w:t>
            </w:r>
          </w:p>
        </w:tc>
        <w:tc>
          <w:tcPr>
            <w:tcW w:type="dxa" w:w="1474"/>
            <w:vAlign w:val="top"/>
            <w:tcMar>
              <w:top w:w="70" w:type="dxa"/>
              <w:start w:w="80" w:type="dxa"/>
              <w:bottom w:w="70" w:type="dxa"/>
              <w:end w:w="80" w:type="dxa"/>
            </w:tcMar>
          </w:tcPr>
          <w:p>
            <w:pPr>
              <w:pStyle w:val="TableText"/>
              <w:jc w:val="left"/>
            </w:pPr>
            <w:r/>
            <w:r>
              <w:rPr>
                <w:rFonts w:ascii="Times New Roman" w:hAnsi="Times New Roman" w:eastAsia="Times New Roman"/>
                <w:sz w:val="17"/>
              </w:rPr>
              <w:t>Висока автоматизованість</w:t>
            </w:r>
          </w:p>
        </w:tc>
      </w:tr>
    </w:tbl>
    <w:p>
      <w:pPr>
        <w:spacing w:after="0"/>
      </w:pPr>
    </w:p>
    <w:p>
      <w:pPr>
        <w:jc w:val="both"/>
      </w:pPr>
      <w:r>
        <w:t>Необхідність і доречність мають переважно контекстний характер. Сам текст вимоги не містить достатньої інформації, щоб достовірно визначити, чи справді вона потрібна системі та чи відповідає цілям проєкту. Для їх оцінювання необхідні зв’язки з цілями, зацікавленими сторонами, бізнес-правилами або нормативними джерелами. Отже, відсутність лінгвістичних дефектів не може бути доказом необхідності або доречності.</w:t>
      </w:r>
    </w:p>
    <w:p>
      <w:pPr>
        <w:jc w:val="both"/>
      </w:pPr>
      <w:r>
        <w:t>Однозначність, одиничність і відповідність правилам подання, навпаки, мають значну частку спостережуваних ознак у самому тексті. Це створює передумови для автоматизованого контролю. Концепція requirements smells демонструє, що суб’єктивні формулювання, нечіткі прислівники й прикметники, слабкі модальні конструкції, займенникові посилання та інші мовні патерни можуть використовуватися як сигнали потенційної неоднозначності [18]. Водночас автоматична ознака є лише індикатором ризику, а не доведенням дефекту, оскільки значення формулювання залежить від контексту.</w:t>
      </w:r>
    </w:p>
    <w:p>
      <w:pPr>
        <w:jc w:val="both"/>
      </w:pPr>
      <w:r>
        <w:t>Повнота потребує розрізнення локального і глобального рівнів. Локально повною можна вважати вимогу, яка містить достатньо інформації для її інтерпретації і перевірки. Глобальна повнота специфікації означає, що сукупність вимог достатньо покриває необхідні функції, характеристики якості, інтерфейси, обмеження та значущі сценарії. Тому висока частка структурно повних окремих вимог не гарантує відсутності пропущених вимог у специфікації.</w:t>
      </w:r>
    </w:p>
    <w:p>
      <w:pPr>
        <w:jc w:val="both"/>
      </w:pPr>
      <w:r>
        <w:t>Перевірюваність є особливо важливою для теми дисертації, оскільки утворює прямий інформаційний міст між вимогою та майбутнім оцінюванням програмного продукту. Формулювання типу «система повинна працювати швидко» задає намір, але не створює відтворюваного критерію. Формулювання з визначеним показником, умовами вимірювання та допустимою межею вже може бути пов’язане з конкретною процедурою перевірки. Отже, з позиції оцінювання якості суттєвим є не лише факт наявності вимоги до якості, а ступінь її операціоналізації.</w:t>
      </w:r>
    </w:p>
    <w:p>
      <w:pPr>
        <w:jc w:val="both"/>
      </w:pPr>
      <w:r>
        <w:t>Коректність і здійсненність також не можна надійно встановлювати лише за формою тексту. Граматично і структурно бездоганна вимога може суперечити реальній потребі користувача, фізичним обмеженням, нормативним вимогам або доступним ресурсам. Для цих властивостей необхідне залучення зовнішніх джерел знань. Це обмеження надалі має бути враховане при виборі ознак для автоматизованої та метричної складових методу оцінювання.</w:t>
      </w:r>
    </w:p>
    <w:p>
      <w:pPr>
        <w:jc w:val="both"/>
      </w:pPr>
      <w:r>
        <w:t>На рівні набору вимог ключовими стають інші властивості: повнота покриття, взаємна несуперечливість, структурна зв’язність і можливість простежити походження та подальше використання вимог. Емпіричне картування досліджень у галузі requirements quality показало, що серед найбільш досліджуваних атрибутів стабільно домінують неоднозначність, повнота, узгодженість і коректність [31]. Це підтверджує, що оцінювання специфікації не може обмежуватися лише стилістичним контролем тексту.</w:t>
      </w:r>
    </w:p>
    <w:p>
      <w:pPr>
        <w:jc w:val="both"/>
      </w:pPr>
      <w:r>
        <w:t>Несуперечливість набору вимог означає відсутність логічних, термінологічних і ресурсних конфліктів між його елементами. Прямий конфлікт виникає, коли дві вимоги задають взаємовиключні значення або поведінку. Непрямий конфлікт може проявлятися через несумісні обмеження: наприклад, одночасну вимогу до максимальної безпеки, мінімальної затримки та фіксованого обмеження обчислювальних ресурсів. Такі суперечності не завжди виявляються простим порівнянням речень і можуть потребувати моделі залежностей або експертної перевірки.</w:t>
      </w:r>
    </w:p>
    <w:p>
      <w:pPr>
        <w:jc w:val="both"/>
      </w:pPr>
      <w:r>
        <w:t>Трасованість у цьому контексті слід трактувати як структурну властивість, що забезпечує зв’язок вимоги з її джерелом, цілями, пов’язаними вимогами та майбутніми артефактами проєктування і перевірки. Вона не визначає істинність вимоги, але робить можливим аналіз її походження, покриття та наслідків зміни. Тому для наступних етапів дослідження трасованість розглядається не лише як документаційна практика, а як джерело структурних ознак для оцінювання.</w:t>
      </w:r>
    </w:p>
    <w:p>
      <w:pPr>
        <w:ind w:firstLine="0"/>
        <w:jc w:val="left"/>
        <w:keepNext/>
      </w:pPr>
      <w:r>
        <w:t>Таблиця 2.2 – Основні класи дефектів вимог та їх потенційні наслідки</w:t>
      </w:r>
    </w:p>
    <w:tbl>
      <w:tblPr>
        <w:tblStyle w:val="TableGrid"/>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1701"/>
            <w:shd w:fill="D9EAF7"/>
            <w:vAlign w:val="center"/>
            <w:tcMar>
              <w:top w:w="70" w:type="dxa"/>
              <w:start w:w="80" w:type="dxa"/>
              <w:bottom w:w="70" w:type="dxa"/>
              <w:end w:w="80" w:type="dxa"/>
            </w:tcMar>
          </w:tcPr>
          <w:p>
            <w:pPr>
              <w:pStyle w:val="TableText"/>
              <w:jc w:val="center"/>
            </w:pPr>
            <w:r/>
            <w:r>
              <w:rPr>
                <w:rFonts w:ascii="Times New Roman" w:hAnsi="Times New Roman" w:eastAsia="Times New Roman"/>
                <w:b/>
                <w:sz w:val="17"/>
              </w:rPr>
              <w:t>Клас дефекту</w:t>
            </w:r>
          </w:p>
        </w:tc>
        <w:tc>
          <w:tcPr>
            <w:tcW w:type="dxa" w:w="3515"/>
            <w:shd w:fill="D9EAF7"/>
            <w:vAlign w:val="center"/>
            <w:tcMar>
              <w:top w:w="70" w:type="dxa"/>
              <w:start w:w="80" w:type="dxa"/>
              <w:bottom w:w="70" w:type="dxa"/>
              <w:end w:w="80" w:type="dxa"/>
            </w:tcMar>
          </w:tcPr>
          <w:p>
            <w:pPr>
              <w:pStyle w:val="TableText"/>
              <w:jc w:val="center"/>
            </w:pPr>
            <w:r/>
            <w:r>
              <w:rPr>
                <w:rFonts w:ascii="Times New Roman" w:hAnsi="Times New Roman" w:eastAsia="Times New Roman"/>
                <w:b/>
                <w:sz w:val="17"/>
              </w:rPr>
              <w:t>Прояв</w:t>
            </w:r>
          </w:p>
        </w:tc>
        <w:tc>
          <w:tcPr>
            <w:tcW w:type="dxa" w:w="4479"/>
            <w:shd w:fill="D9EAF7"/>
            <w:vAlign w:val="center"/>
            <w:tcMar>
              <w:top w:w="70" w:type="dxa"/>
              <w:start w:w="80" w:type="dxa"/>
              <w:bottom w:w="70" w:type="dxa"/>
              <w:end w:w="80" w:type="dxa"/>
            </w:tcMar>
          </w:tcPr>
          <w:p>
            <w:pPr>
              <w:pStyle w:val="TableText"/>
              <w:jc w:val="center"/>
            </w:pPr>
            <w:r/>
            <w:r>
              <w:rPr>
                <w:rFonts w:ascii="Times New Roman" w:hAnsi="Times New Roman" w:eastAsia="Times New Roman"/>
                <w:b/>
                <w:sz w:val="17"/>
              </w:rPr>
              <w:t>Потенційний наслідок для розробки та оцінювання</w:t>
            </w:r>
          </w:p>
        </w:tc>
      </w:tr>
      <w:tr>
        <w:trPr>
          <w:cantSplit/>
        </w:trPr>
        <w:tc>
          <w:tcPr>
            <w:tcW w:type="dxa" w:w="1701"/>
            <w:vAlign w:val="top"/>
            <w:tcMar>
              <w:top w:w="70" w:type="dxa"/>
              <w:start w:w="80" w:type="dxa"/>
              <w:bottom w:w="70" w:type="dxa"/>
              <w:end w:w="80" w:type="dxa"/>
            </w:tcMar>
          </w:tcPr>
          <w:p>
            <w:pPr>
              <w:pStyle w:val="TableText"/>
              <w:jc w:val="left"/>
            </w:pPr>
            <w:r/>
            <w:r>
              <w:rPr>
                <w:rFonts w:ascii="Times New Roman" w:hAnsi="Times New Roman" w:eastAsia="Times New Roman"/>
                <w:sz w:val="17"/>
              </w:rPr>
              <w:t>Пропуск</w:t>
            </w:r>
          </w:p>
        </w:tc>
        <w:tc>
          <w:tcPr>
            <w:tcW w:type="dxa" w:w="3515"/>
            <w:vAlign w:val="top"/>
            <w:tcMar>
              <w:top w:w="70" w:type="dxa"/>
              <w:start w:w="80" w:type="dxa"/>
              <w:bottom w:w="70" w:type="dxa"/>
              <w:end w:w="80" w:type="dxa"/>
            </w:tcMar>
          </w:tcPr>
          <w:p>
            <w:pPr>
              <w:pStyle w:val="TableText"/>
              <w:jc w:val="left"/>
            </w:pPr>
            <w:r/>
            <w:r>
              <w:rPr>
                <w:rFonts w:ascii="Times New Roman" w:hAnsi="Times New Roman" w:eastAsia="Times New Roman"/>
                <w:sz w:val="17"/>
              </w:rPr>
              <w:t>Відсутня необхідна функція, характеристика, сценарій, обмеження або критерій.</w:t>
            </w:r>
          </w:p>
        </w:tc>
        <w:tc>
          <w:tcPr>
            <w:tcW w:type="dxa" w:w="4479"/>
            <w:vAlign w:val="top"/>
            <w:tcMar>
              <w:top w:w="70" w:type="dxa"/>
              <w:start w:w="80" w:type="dxa"/>
              <w:bottom w:w="70" w:type="dxa"/>
              <w:end w:w="80" w:type="dxa"/>
            </w:tcMar>
          </w:tcPr>
          <w:p>
            <w:pPr>
              <w:pStyle w:val="TableText"/>
              <w:jc w:val="left"/>
            </w:pPr>
            <w:r/>
            <w:r>
              <w:rPr>
                <w:rFonts w:ascii="Times New Roman" w:hAnsi="Times New Roman" w:eastAsia="Times New Roman"/>
                <w:sz w:val="17"/>
              </w:rPr>
              <w:t>Неповне покриття потреб; пізні зміни; неперевірені аспекти продукту.</w:t>
            </w:r>
          </w:p>
        </w:tc>
      </w:tr>
      <w:tr>
        <w:trPr>
          <w:cantSplit/>
        </w:trPr>
        <w:tc>
          <w:tcPr>
            <w:tcW w:type="dxa" w:w="1701"/>
            <w:vAlign w:val="top"/>
            <w:tcMar>
              <w:top w:w="70" w:type="dxa"/>
              <w:start w:w="80" w:type="dxa"/>
              <w:bottom w:w="70" w:type="dxa"/>
              <w:end w:w="80" w:type="dxa"/>
            </w:tcMar>
          </w:tcPr>
          <w:p>
            <w:pPr>
              <w:pStyle w:val="TableText"/>
              <w:jc w:val="left"/>
            </w:pPr>
            <w:r/>
            <w:r>
              <w:rPr>
                <w:rFonts w:ascii="Times New Roman" w:hAnsi="Times New Roman" w:eastAsia="Times New Roman"/>
                <w:sz w:val="17"/>
              </w:rPr>
              <w:t>Некоректність</w:t>
            </w:r>
          </w:p>
        </w:tc>
        <w:tc>
          <w:tcPr>
            <w:tcW w:type="dxa" w:w="3515"/>
            <w:vAlign w:val="top"/>
            <w:tcMar>
              <w:top w:w="70" w:type="dxa"/>
              <w:start w:w="80" w:type="dxa"/>
              <w:bottom w:w="70" w:type="dxa"/>
              <w:end w:w="80" w:type="dxa"/>
            </w:tcMar>
          </w:tcPr>
          <w:p>
            <w:pPr>
              <w:pStyle w:val="TableText"/>
              <w:jc w:val="left"/>
            </w:pPr>
            <w:r/>
            <w:r>
              <w:rPr>
                <w:rFonts w:ascii="Times New Roman" w:hAnsi="Times New Roman" w:eastAsia="Times New Roman"/>
                <w:sz w:val="17"/>
              </w:rPr>
              <w:t>Вимога неправильно відображає потребу, правило або доменне обмеження.</w:t>
            </w:r>
          </w:p>
        </w:tc>
        <w:tc>
          <w:tcPr>
            <w:tcW w:type="dxa" w:w="4479"/>
            <w:vAlign w:val="top"/>
            <w:tcMar>
              <w:top w:w="70" w:type="dxa"/>
              <w:start w:w="80" w:type="dxa"/>
              <w:bottom w:w="70" w:type="dxa"/>
              <w:end w:w="80" w:type="dxa"/>
            </w:tcMar>
          </w:tcPr>
          <w:p>
            <w:pPr>
              <w:pStyle w:val="TableText"/>
              <w:jc w:val="left"/>
            </w:pPr>
            <w:r/>
            <w:r>
              <w:rPr>
                <w:rFonts w:ascii="Times New Roman" w:hAnsi="Times New Roman" w:eastAsia="Times New Roman"/>
                <w:sz w:val="17"/>
              </w:rPr>
              <w:t>Реалізація формально відповідає специфікації, але не вирішує фактичну задачу.</w:t>
            </w:r>
          </w:p>
        </w:tc>
      </w:tr>
      <w:tr>
        <w:trPr>
          <w:cantSplit/>
        </w:trPr>
        <w:tc>
          <w:tcPr>
            <w:tcW w:type="dxa" w:w="1701"/>
            <w:vAlign w:val="top"/>
            <w:tcMar>
              <w:top w:w="70" w:type="dxa"/>
              <w:start w:w="80" w:type="dxa"/>
              <w:bottom w:w="70" w:type="dxa"/>
              <w:end w:w="80" w:type="dxa"/>
            </w:tcMar>
          </w:tcPr>
          <w:p>
            <w:pPr>
              <w:pStyle w:val="TableText"/>
              <w:jc w:val="left"/>
            </w:pPr>
            <w:r/>
            <w:r>
              <w:rPr>
                <w:rFonts w:ascii="Times New Roman" w:hAnsi="Times New Roman" w:eastAsia="Times New Roman"/>
                <w:sz w:val="17"/>
              </w:rPr>
              <w:t>Неоднозначність</w:t>
            </w:r>
          </w:p>
        </w:tc>
        <w:tc>
          <w:tcPr>
            <w:tcW w:type="dxa" w:w="3515"/>
            <w:vAlign w:val="top"/>
            <w:tcMar>
              <w:top w:w="70" w:type="dxa"/>
              <w:start w:w="80" w:type="dxa"/>
              <w:bottom w:w="70" w:type="dxa"/>
              <w:end w:w="80" w:type="dxa"/>
            </w:tcMar>
          </w:tcPr>
          <w:p>
            <w:pPr>
              <w:pStyle w:val="TableText"/>
              <w:jc w:val="left"/>
            </w:pPr>
            <w:r/>
            <w:r>
              <w:rPr>
                <w:rFonts w:ascii="Times New Roman" w:hAnsi="Times New Roman" w:eastAsia="Times New Roman"/>
                <w:sz w:val="17"/>
              </w:rPr>
              <w:t>Формулювання допускає кілька обґрунтованих трактувань.</w:t>
            </w:r>
          </w:p>
        </w:tc>
        <w:tc>
          <w:tcPr>
            <w:tcW w:type="dxa" w:w="4479"/>
            <w:vAlign w:val="top"/>
            <w:tcMar>
              <w:top w:w="70" w:type="dxa"/>
              <w:start w:w="80" w:type="dxa"/>
              <w:bottom w:w="70" w:type="dxa"/>
              <w:end w:w="80" w:type="dxa"/>
            </w:tcMar>
          </w:tcPr>
          <w:p>
            <w:pPr>
              <w:pStyle w:val="TableText"/>
              <w:jc w:val="left"/>
            </w:pPr>
            <w:r/>
            <w:r>
              <w:rPr>
                <w:rFonts w:ascii="Times New Roman" w:hAnsi="Times New Roman" w:eastAsia="Times New Roman"/>
                <w:sz w:val="17"/>
              </w:rPr>
              <w:t>Розбіжності між аналітиком, розробником і тестувальником; повторна робота.</w:t>
            </w:r>
          </w:p>
        </w:tc>
      </w:tr>
      <w:tr>
        <w:trPr>
          <w:cantSplit/>
        </w:trPr>
        <w:tc>
          <w:tcPr>
            <w:tcW w:type="dxa" w:w="1701"/>
            <w:vAlign w:val="top"/>
            <w:tcMar>
              <w:top w:w="70" w:type="dxa"/>
              <w:start w:w="80" w:type="dxa"/>
              <w:bottom w:w="70" w:type="dxa"/>
              <w:end w:w="80" w:type="dxa"/>
            </w:tcMar>
          </w:tcPr>
          <w:p>
            <w:pPr>
              <w:pStyle w:val="TableText"/>
              <w:jc w:val="left"/>
            </w:pPr>
            <w:r/>
            <w:r>
              <w:rPr>
                <w:rFonts w:ascii="Times New Roman" w:hAnsi="Times New Roman" w:eastAsia="Times New Roman"/>
                <w:sz w:val="17"/>
              </w:rPr>
              <w:t>Суперечність</w:t>
            </w:r>
          </w:p>
        </w:tc>
        <w:tc>
          <w:tcPr>
            <w:tcW w:type="dxa" w:w="3515"/>
            <w:vAlign w:val="top"/>
            <w:tcMar>
              <w:top w:w="70" w:type="dxa"/>
              <w:start w:w="80" w:type="dxa"/>
              <w:bottom w:w="70" w:type="dxa"/>
              <w:end w:w="80" w:type="dxa"/>
            </w:tcMar>
          </w:tcPr>
          <w:p>
            <w:pPr>
              <w:pStyle w:val="TableText"/>
              <w:jc w:val="left"/>
            </w:pPr>
            <w:r/>
            <w:r>
              <w:rPr>
                <w:rFonts w:ascii="Times New Roman" w:hAnsi="Times New Roman" w:eastAsia="Times New Roman"/>
                <w:sz w:val="17"/>
              </w:rPr>
              <w:t>Дві або більше вимог не можуть бути одночасно виконані або використовують несумісні визначення.</w:t>
            </w:r>
          </w:p>
        </w:tc>
        <w:tc>
          <w:tcPr>
            <w:tcW w:type="dxa" w:w="4479"/>
            <w:vAlign w:val="top"/>
            <w:tcMar>
              <w:top w:w="70" w:type="dxa"/>
              <w:start w:w="80" w:type="dxa"/>
              <w:bottom w:w="70" w:type="dxa"/>
              <w:end w:w="80" w:type="dxa"/>
            </w:tcMar>
          </w:tcPr>
          <w:p>
            <w:pPr>
              <w:pStyle w:val="TableText"/>
              <w:jc w:val="left"/>
            </w:pPr>
            <w:r/>
            <w:r>
              <w:rPr>
                <w:rFonts w:ascii="Times New Roman" w:hAnsi="Times New Roman" w:eastAsia="Times New Roman"/>
                <w:sz w:val="17"/>
              </w:rPr>
              <w:t>Конфлікт архітектурних рішень; нестабільність критеріїв приймання.</w:t>
            </w:r>
          </w:p>
        </w:tc>
      </w:tr>
      <w:tr>
        <w:trPr>
          <w:cantSplit/>
        </w:trPr>
        <w:tc>
          <w:tcPr>
            <w:tcW w:type="dxa" w:w="1701"/>
            <w:vAlign w:val="top"/>
            <w:tcMar>
              <w:top w:w="70" w:type="dxa"/>
              <w:start w:w="80" w:type="dxa"/>
              <w:bottom w:w="70" w:type="dxa"/>
              <w:end w:w="80" w:type="dxa"/>
            </w:tcMar>
          </w:tcPr>
          <w:p>
            <w:pPr>
              <w:pStyle w:val="TableText"/>
              <w:jc w:val="left"/>
            </w:pPr>
            <w:r/>
            <w:r>
              <w:rPr>
                <w:rFonts w:ascii="Times New Roman" w:hAnsi="Times New Roman" w:eastAsia="Times New Roman"/>
                <w:sz w:val="17"/>
              </w:rPr>
              <w:t>Неперевірюваність</w:t>
            </w:r>
          </w:p>
        </w:tc>
        <w:tc>
          <w:tcPr>
            <w:tcW w:type="dxa" w:w="3515"/>
            <w:vAlign w:val="top"/>
            <w:tcMar>
              <w:top w:w="70" w:type="dxa"/>
              <w:start w:w="80" w:type="dxa"/>
              <w:bottom w:w="70" w:type="dxa"/>
              <w:end w:w="80" w:type="dxa"/>
            </w:tcMar>
          </w:tcPr>
          <w:p>
            <w:pPr>
              <w:pStyle w:val="TableText"/>
              <w:jc w:val="left"/>
            </w:pPr>
            <w:r/>
            <w:r>
              <w:rPr>
                <w:rFonts w:ascii="Times New Roman" w:hAnsi="Times New Roman" w:eastAsia="Times New Roman"/>
                <w:sz w:val="17"/>
              </w:rPr>
              <w:t>Не визначено спостережуваний критерій або спосіб встановлення виконання.</w:t>
            </w:r>
          </w:p>
        </w:tc>
        <w:tc>
          <w:tcPr>
            <w:tcW w:type="dxa" w:w="4479"/>
            <w:vAlign w:val="top"/>
            <w:tcMar>
              <w:top w:w="70" w:type="dxa"/>
              <w:start w:w="80" w:type="dxa"/>
              <w:bottom w:w="70" w:type="dxa"/>
              <w:end w:w="80" w:type="dxa"/>
            </w:tcMar>
          </w:tcPr>
          <w:p>
            <w:pPr>
              <w:pStyle w:val="TableText"/>
              <w:jc w:val="left"/>
            </w:pPr>
            <w:r/>
            <w:r>
              <w:rPr>
                <w:rFonts w:ascii="Times New Roman" w:hAnsi="Times New Roman" w:eastAsia="Times New Roman"/>
                <w:sz w:val="17"/>
              </w:rPr>
              <w:t>Суб’єктивне приймання; неможливість однозначно сформувати тест/аналіз.</w:t>
            </w:r>
          </w:p>
        </w:tc>
      </w:tr>
      <w:tr>
        <w:trPr>
          <w:cantSplit/>
        </w:trPr>
        <w:tc>
          <w:tcPr>
            <w:tcW w:type="dxa" w:w="1701"/>
            <w:vAlign w:val="top"/>
            <w:tcMar>
              <w:top w:w="70" w:type="dxa"/>
              <w:start w:w="80" w:type="dxa"/>
              <w:bottom w:w="70" w:type="dxa"/>
              <w:end w:w="80" w:type="dxa"/>
            </w:tcMar>
          </w:tcPr>
          <w:p>
            <w:pPr>
              <w:pStyle w:val="TableText"/>
              <w:jc w:val="left"/>
            </w:pPr>
            <w:r/>
            <w:r>
              <w:rPr>
                <w:rFonts w:ascii="Times New Roman" w:hAnsi="Times New Roman" w:eastAsia="Times New Roman"/>
                <w:sz w:val="17"/>
              </w:rPr>
              <w:t>Неатомарність</w:t>
            </w:r>
          </w:p>
        </w:tc>
        <w:tc>
          <w:tcPr>
            <w:tcW w:type="dxa" w:w="3515"/>
            <w:vAlign w:val="top"/>
            <w:tcMar>
              <w:top w:w="70" w:type="dxa"/>
              <w:start w:w="80" w:type="dxa"/>
              <w:bottom w:w="70" w:type="dxa"/>
              <w:end w:w="80" w:type="dxa"/>
            </w:tcMar>
          </w:tcPr>
          <w:p>
            <w:pPr>
              <w:pStyle w:val="TableText"/>
              <w:jc w:val="left"/>
            </w:pPr>
            <w:r/>
            <w:r>
              <w:rPr>
                <w:rFonts w:ascii="Times New Roman" w:hAnsi="Times New Roman" w:eastAsia="Times New Roman"/>
                <w:sz w:val="17"/>
              </w:rPr>
              <w:t>Одна вимога містить кілька незалежних зобов’язань.</w:t>
            </w:r>
          </w:p>
        </w:tc>
        <w:tc>
          <w:tcPr>
            <w:tcW w:type="dxa" w:w="4479"/>
            <w:vAlign w:val="top"/>
            <w:tcMar>
              <w:top w:w="70" w:type="dxa"/>
              <w:start w:w="80" w:type="dxa"/>
              <w:bottom w:w="70" w:type="dxa"/>
              <w:end w:w="80" w:type="dxa"/>
            </w:tcMar>
          </w:tcPr>
          <w:p>
            <w:pPr>
              <w:pStyle w:val="TableText"/>
              <w:jc w:val="left"/>
            </w:pPr>
            <w:r/>
            <w:r>
              <w:rPr>
                <w:rFonts w:ascii="Times New Roman" w:hAnsi="Times New Roman" w:eastAsia="Times New Roman"/>
                <w:sz w:val="17"/>
              </w:rPr>
              <w:t>Ускладнене трасування, пріоритезація і визначення статусу виконання.</w:t>
            </w:r>
          </w:p>
        </w:tc>
      </w:tr>
      <w:tr>
        <w:trPr>
          <w:cantSplit/>
        </w:trPr>
        <w:tc>
          <w:tcPr>
            <w:tcW w:type="dxa" w:w="1701"/>
            <w:vAlign w:val="top"/>
            <w:tcMar>
              <w:top w:w="70" w:type="dxa"/>
              <w:start w:w="80" w:type="dxa"/>
              <w:bottom w:w="70" w:type="dxa"/>
              <w:end w:w="80" w:type="dxa"/>
            </w:tcMar>
          </w:tcPr>
          <w:p>
            <w:pPr>
              <w:pStyle w:val="TableText"/>
              <w:jc w:val="left"/>
            </w:pPr>
            <w:r/>
            <w:r>
              <w:rPr>
                <w:rFonts w:ascii="Times New Roman" w:hAnsi="Times New Roman" w:eastAsia="Times New Roman"/>
                <w:sz w:val="17"/>
              </w:rPr>
              <w:t>Нездійсненність</w:t>
            </w:r>
          </w:p>
        </w:tc>
        <w:tc>
          <w:tcPr>
            <w:tcW w:type="dxa" w:w="3515"/>
            <w:vAlign w:val="top"/>
            <w:tcMar>
              <w:top w:w="70" w:type="dxa"/>
              <w:start w:w="80" w:type="dxa"/>
              <w:bottom w:w="70" w:type="dxa"/>
              <w:end w:w="80" w:type="dxa"/>
            </w:tcMar>
          </w:tcPr>
          <w:p>
            <w:pPr>
              <w:pStyle w:val="TableText"/>
              <w:jc w:val="left"/>
            </w:pPr>
            <w:r/>
            <w:r>
              <w:rPr>
                <w:rFonts w:ascii="Times New Roman" w:hAnsi="Times New Roman" w:eastAsia="Times New Roman"/>
                <w:sz w:val="17"/>
              </w:rPr>
              <w:t>Вимога несумісна з технологічними, часовими, ресурсними або правовими обмеженнями.</w:t>
            </w:r>
          </w:p>
        </w:tc>
        <w:tc>
          <w:tcPr>
            <w:tcW w:type="dxa" w:w="4479"/>
            <w:vAlign w:val="top"/>
            <w:tcMar>
              <w:top w:w="70" w:type="dxa"/>
              <w:start w:w="80" w:type="dxa"/>
              <w:bottom w:w="70" w:type="dxa"/>
              <w:end w:w="80" w:type="dxa"/>
            </w:tcMar>
          </w:tcPr>
          <w:p>
            <w:pPr>
              <w:pStyle w:val="TableText"/>
              <w:jc w:val="left"/>
            </w:pPr>
            <w:r/>
            <w:r>
              <w:rPr>
                <w:rFonts w:ascii="Times New Roman" w:hAnsi="Times New Roman" w:eastAsia="Times New Roman"/>
                <w:sz w:val="17"/>
              </w:rPr>
              <w:t>Перепроєктування; зміна scope; невиконання цільових характеристик.</w:t>
            </w:r>
          </w:p>
        </w:tc>
      </w:tr>
      <w:tr>
        <w:trPr>
          <w:cantSplit/>
        </w:trPr>
        <w:tc>
          <w:tcPr>
            <w:tcW w:type="dxa" w:w="1701"/>
            <w:vAlign w:val="top"/>
            <w:tcMar>
              <w:top w:w="70" w:type="dxa"/>
              <w:start w:w="80" w:type="dxa"/>
              <w:bottom w:w="70" w:type="dxa"/>
              <w:end w:w="80" w:type="dxa"/>
            </w:tcMar>
          </w:tcPr>
          <w:p>
            <w:pPr>
              <w:pStyle w:val="TableText"/>
              <w:jc w:val="left"/>
            </w:pPr>
            <w:r/>
            <w:r>
              <w:rPr>
                <w:rFonts w:ascii="Times New Roman" w:hAnsi="Times New Roman" w:eastAsia="Times New Roman"/>
                <w:sz w:val="17"/>
              </w:rPr>
              <w:t>Порушення термінології/шаблону</w:t>
            </w:r>
          </w:p>
        </w:tc>
        <w:tc>
          <w:tcPr>
            <w:tcW w:type="dxa" w:w="3515"/>
            <w:vAlign w:val="top"/>
            <w:tcMar>
              <w:top w:w="70" w:type="dxa"/>
              <w:start w:w="80" w:type="dxa"/>
              <w:bottom w:w="70" w:type="dxa"/>
              <w:end w:w="80" w:type="dxa"/>
            </w:tcMar>
          </w:tcPr>
          <w:p>
            <w:pPr>
              <w:pStyle w:val="TableText"/>
              <w:jc w:val="left"/>
            </w:pPr>
            <w:r/>
            <w:r>
              <w:rPr>
                <w:rFonts w:ascii="Times New Roman" w:hAnsi="Times New Roman" w:eastAsia="Times New Roman"/>
                <w:sz w:val="17"/>
              </w:rPr>
              <w:t>Непослідовні поняття, неузгоджена структура, відсутні обов’язкові поля.</w:t>
            </w:r>
          </w:p>
        </w:tc>
        <w:tc>
          <w:tcPr>
            <w:tcW w:type="dxa" w:w="4479"/>
            <w:vAlign w:val="top"/>
            <w:tcMar>
              <w:top w:w="70" w:type="dxa"/>
              <w:start w:w="80" w:type="dxa"/>
              <w:bottom w:w="70" w:type="dxa"/>
              <w:end w:w="80" w:type="dxa"/>
            </w:tcMar>
          </w:tcPr>
          <w:p>
            <w:pPr>
              <w:pStyle w:val="TableText"/>
              <w:jc w:val="left"/>
            </w:pPr>
            <w:r/>
            <w:r>
              <w:rPr>
                <w:rFonts w:ascii="Times New Roman" w:hAnsi="Times New Roman" w:eastAsia="Times New Roman"/>
                <w:sz w:val="17"/>
              </w:rPr>
              <w:t>Зростання неоднозначності; складність автоматичного аналізу і супроводу.</w:t>
            </w:r>
          </w:p>
        </w:tc>
      </w:tr>
      <w:tr>
        <w:trPr>
          <w:cantSplit/>
        </w:trPr>
        <w:tc>
          <w:tcPr>
            <w:tcW w:type="dxa" w:w="1701"/>
            <w:vAlign w:val="top"/>
            <w:tcMar>
              <w:top w:w="70" w:type="dxa"/>
              <w:start w:w="80" w:type="dxa"/>
              <w:bottom w:w="70" w:type="dxa"/>
              <w:end w:w="80" w:type="dxa"/>
            </w:tcMar>
          </w:tcPr>
          <w:p>
            <w:pPr>
              <w:pStyle w:val="TableText"/>
              <w:jc w:val="left"/>
            </w:pPr>
            <w:r/>
            <w:r>
              <w:rPr>
                <w:rFonts w:ascii="Times New Roman" w:hAnsi="Times New Roman" w:eastAsia="Times New Roman"/>
                <w:sz w:val="17"/>
              </w:rPr>
              <w:t>Розрив трасованості</w:t>
            </w:r>
          </w:p>
        </w:tc>
        <w:tc>
          <w:tcPr>
            <w:tcW w:type="dxa" w:w="3515"/>
            <w:vAlign w:val="top"/>
            <w:tcMar>
              <w:top w:w="70" w:type="dxa"/>
              <w:start w:w="80" w:type="dxa"/>
              <w:bottom w:w="70" w:type="dxa"/>
              <w:end w:w="80" w:type="dxa"/>
            </w:tcMar>
          </w:tcPr>
          <w:p>
            <w:pPr>
              <w:pStyle w:val="TableText"/>
              <w:jc w:val="left"/>
            </w:pPr>
            <w:r/>
            <w:r>
              <w:rPr>
                <w:rFonts w:ascii="Times New Roman" w:hAnsi="Times New Roman" w:eastAsia="Times New Roman"/>
                <w:sz w:val="17"/>
              </w:rPr>
              <w:t>Вимога не пов’язана з джерелом, ціллю або засобом перевірки.</w:t>
            </w:r>
          </w:p>
        </w:tc>
        <w:tc>
          <w:tcPr>
            <w:tcW w:type="dxa" w:w="4479"/>
            <w:vAlign w:val="top"/>
            <w:tcMar>
              <w:top w:w="70" w:type="dxa"/>
              <w:start w:w="80" w:type="dxa"/>
              <w:bottom w:w="70" w:type="dxa"/>
              <w:end w:w="80" w:type="dxa"/>
            </w:tcMar>
          </w:tcPr>
          <w:p>
            <w:pPr>
              <w:pStyle w:val="TableText"/>
              <w:jc w:val="left"/>
            </w:pPr>
            <w:r/>
            <w:r>
              <w:rPr>
                <w:rFonts w:ascii="Times New Roman" w:hAnsi="Times New Roman" w:eastAsia="Times New Roman"/>
                <w:sz w:val="17"/>
              </w:rPr>
              <w:t>Невідоме обґрунтування; ризик непокритих цілей або неоцінених змін.</w:t>
            </w:r>
          </w:p>
        </w:tc>
      </w:tr>
    </w:tbl>
    <w:p>
      <w:pPr>
        <w:spacing w:after="0"/>
      </w:pPr>
    </w:p>
    <w:p>
      <w:pPr>
        <w:jc w:val="both"/>
      </w:pPr>
      <w:r>
        <w:t>Подана класифікація не означає, що кожен дефект має однакову вагу або однаковий вплив на результат розробки. Емпіричні дослідження показують залежність значущості дефектів специфікації від контексту проєкту та способу використання вимог [32]. Саме тому на цьому етапі недоцільно задавати апріорні вагові коефіцієнти. Спочатку необхідно сформувати систему спостережуваних властивостей і лише після цього експериментально досліджувати їх зв’язок із показниками якості програмного продукту.</w:t>
      </w:r>
    </w:p>
    <w:p>
      <w:pPr>
        <w:jc w:val="both"/>
      </w:pPr>
      <w:r>
        <w:t>Для переходу від якісних характеристик до даних, придатних для подальшого моделювання, введемо формальне подання. Нехай специфікація містить множину вимог R = {r₁, r₂, …, rₙ}, а 𝒫 = {p₁, p₂, …, pₘ} — множина властивостей, що підлягають оцінюванню. Для кожної пари (rᵢ, pⱼ) визначається результат перевірки aᵢⱼ. У найпростішому випадку aᵢⱼ може бути бінарним, але для властивостей, що оцінюються за декількома критеріями або експертною шкалою, доцільно використовувати нормований інтервал [0; 1].</w:t>
      </w:r>
    </w:p>
    <w:p>
      <w:pPr>
        <w:pStyle w:val="Eq"/>
      </w:pPr>
      <w:r>
        <w:t>aᵢⱼ ∈ [0; 1],   i = 1, …, n;   j = 1, …, m.</w:t>
      </w:r>
    </w:p>
    <w:p>
      <w:pPr>
        <w:jc w:val="both"/>
      </w:pPr>
      <w:r>
        <w:t>Тоді для властивості pⱼ можна визначити агрегований показник дотримання як середнє значення індивідуальних оцінок вимог:</w:t>
      </w:r>
    </w:p>
    <w:p>
      <w:pPr>
        <w:pStyle w:val="Eq"/>
      </w:pPr>
      <w:r>
        <w:t>xⱼ = (1 / n) · Σᵢ₌₁ⁿ aᵢⱼ.</w:t>
      </w:r>
    </w:p>
    <w:p>
      <w:pPr>
        <w:jc w:val="both"/>
      </w:pPr>
      <w:r>
        <w:t>Величина xⱼ характеризує частку або ступінь дотримання конкретної властивості у наборі вимог. Відповідний показник дефектності може бути поданий як dⱼ = 1 − xⱼ. Така форма є навмисно загальною: конкретне правило визначення aᵢⱼ залежить від природи властивості. Для відповідності шаблону воно може формуватися автоматично, для однозначності — комбінувати лінгвістичні сигнали й експертну перевірку, а для коректності або здійсненності — спиратися переважно на зовнішні доменні свідчення.</w:t>
      </w:r>
    </w:p>
    <w:p>
      <w:pPr>
        <w:pStyle w:val="Eq"/>
      </w:pPr>
      <w:r>
        <w:t>Xᴿ = (x₁, x₂, …, xₘ).</w:t>
      </w:r>
    </w:p>
    <w:p>
      <w:pPr>
        <w:jc w:val="both"/>
      </w:pPr>
      <w:r>
        <w:t>Вектор Xᴿ у межах цього підрозділу слід розглядати не як готову оцінку якості ПЗ, а як формалізований опис стану вимог. Його перевага полягає в тому, що різнорідні властивості специфікації переводяться у структуру вхідних даних, яку надалі можна зіставляти з характеристиками якості програмного продукту. Склад набору P та правила розрахунку окремих індикаторів мають бути уточнені у підрозділі 2.3, тоді як характер зв’язків між Xᴿ та характеристиками якості ПЗ є предметом підрозділу 2.2.</w:t>
      </w:r>
    </w:p>
    <w:p>
      <w:pPr>
        <w:ind w:firstLine="0"/>
        <w:jc w:val="left"/>
        <w:keepNext/>
      </w:pPr>
      <w:r>
        <w:t>Таблиця 2.3 – Приклади операціоналізації окремих властивостей вимог</w:t>
      </w:r>
    </w:p>
    <w:tbl>
      <w:tblPr>
        <w:tblStyle w:val="TableGrid"/>
        <w:tblW w:type="auto" w:w="0"/>
        <w:jc w:val="center"/>
        <w:tblLayout w:type="fixed"/>
        <w:tblLook w:firstColumn="1" w:firstRow="1" w:lastColumn="0" w:lastRow="0" w:noHBand="0" w:noVBand="1" w:val="04A0"/>
      </w:tblPr>
      <w:tblGrid>
        <w:gridCol w:w="2480"/>
        <w:gridCol w:w="2480"/>
        <w:gridCol w:w="2480"/>
        <w:gridCol w:w="2480"/>
      </w:tblGrid>
      <w:tr>
        <w:trPr>
          <w:tblHeader w:val="true"/>
          <w:cantSplit/>
        </w:trPr>
        <w:tc>
          <w:tcPr>
            <w:tcW w:type="dxa" w:w="1701"/>
            <w:shd w:fill="D9EAF7"/>
            <w:vAlign w:val="center"/>
            <w:tcMar>
              <w:top w:w="70" w:type="dxa"/>
              <w:start w:w="80" w:type="dxa"/>
              <w:bottom w:w="70" w:type="dxa"/>
              <w:end w:w="80" w:type="dxa"/>
            </w:tcMar>
          </w:tcPr>
          <w:p>
            <w:pPr>
              <w:pStyle w:val="TableText"/>
              <w:jc w:val="center"/>
            </w:pPr>
            <w:r/>
            <w:r>
              <w:rPr>
                <w:rFonts w:ascii="Times New Roman" w:hAnsi="Times New Roman" w:eastAsia="Times New Roman"/>
                <w:b/>
                <w:sz w:val="17"/>
              </w:rPr>
              <w:t>Властивість</w:t>
            </w:r>
          </w:p>
        </w:tc>
        <w:tc>
          <w:tcPr>
            <w:tcW w:type="dxa" w:w="1134"/>
            <w:shd w:fill="D9EAF7"/>
            <w:vAlign w:val="center"/>
            <w:tcMar>
              <w:top w:w="70" w:type="dxa"/>
              <w:start w:w="80" w:type="dxa"/>
              <w:bottom w:w="70" w:type="dxa"/>
              <w:end w:w="80" w:type="dxa"/>
            </w:tcMar>
          </w:tcPr>
          <w:p>
            <w:pPr>
              <w:pStyle w:val="TableText"/>
              <w:jc w:val="center"/>
            </w:pPr>
            <w:r/>
            <w:r>
              <w:rPr>
                <w:rFonts w:ascii="Times New Roman" w:hAnsi="Times New Roman" w:eastAsia="Times New Roman"/>
                <w:b/>
                <w:sz w:val="17"/>
              </w:rPr>
              <w:t>Позначення</w:t>
            </w:r>
          </w:p>
        </w:tc>
        <w:tc>
          <w:tcPr>
            <w:tcW w:type="dxa" w:w="4535"/>
            <w:shd w:fill="D9EAF7"/>
            <w:vAlign w:val="center"/>
            <w:tcMar>
              <w:top w:w="70" w:type="dxa"/>
              <w:start w:w="80" w:type="dxa"/>
              <w:bottom w:w="70" w:type="dxa"/>
              <w:end w:w="80" w:type="dxa"/>
            </w:tcMar>
          </w:tcPr>
          <w:p>
            <w:pPr>
              <w:pStyle w:val="TableText"/>
              <w:jc w:val="center"/>
            </w:pPr>
            <w:r/>
            <w:r>
              <w:rPr>
                <w:rFonts w:ascii="Times New Roman" w:hAnsi="Times New Roman" w:eastAsia="Times New Roman"/>
                <w:b/>
                <w:sz w:val="17"/>
              </w:rPr>
              <w:t>Принцип оцінювання</w:t>
            </w:r>
          </w:p>
        </w:tc>
        <w:tc>
          <w:tcPr>
            <w:tcW w:type="dxa" w:w="2268"/>
            <w:shd w:fill="D9EAF7"/>
            <w:vAlign w:val="center"/>
            <w:tcMar>
              <w:top w:w="70" w:type="dxa"/>
              <w:start w:w="80" w:type="dxa"/>
              <w:bottom w:w="70" w:type="dxa"/>
              <w:end w:w="80" w:type="dxa"/>
            </w:tcMar>
          </w:tcPr>
          <w:p>
            <w:pPr>
              <w:pStyle w:val="TableText"/>
              <w:jc w:val="center"/>
            </w:pPr>
            <w:r/>
            <w:r>
              <w:rPr>
                <w:rFonts w:ascii="Times New Roman" w:hAnsi="Times New Roman" w:eastAsia="Times New Roman"/>
                <w:b/>
                <w:sz w:val="17"/>
              </w:rPr>
              <w:t>Основний тип даних</w:t>
            </w:r>
          </w:p>
        </w:tc>
      </w:tr>
      <w:tr>
        <w:trPr>
          <w:cantSplit/>
        </w:trPr>
        <w:tc>
          <w:tcPr>
            <w:tcW w:type="dxa" w:w="1701"/>
            <w:vAlign w:val="top"/>
            <w:tcMar>
              <w:top w:w="70" w:type="dxa"/>
              <w:start w:w="80" w:type="dxa"/>
              <w:bottom w:w="70" w:type="dxa"/>
              <w:end w:w="80" w:type="dxa"/>
            </w:tcMar>
          </w:tcPr>
          <w:p>
            <w:pPr>
              <w:pStyle w:val="TableText"/>
              <w:jc w:val="left"/>
            </w:pPr>
            <w:r/>
            <w:r>
              <w:rPr>
                <w:rFonts w:ascii="Times New Roman" w:hAnsi="Times New Roman" w:eastAsia="Times New Roman"/>
                <w:sz w:val="17"/>
              </w:rPr>
              <w:t>Однозначність</w:t>
            </w:r>
          </w:p>
        </w:tc>
        <w:tc>
          <w:tcPr>
            <w:tcW w:type="dxa" w:w="1134"/>
            <w:vAlign w:val="top"/>
            <w:tcMar>
              <w:top w:w="70" w:type="dxa"/>
              <w:start w:w="80" w:type="dxa"/>
              <w:bottom w:w="70" w:type="dxa"/>
              <w:end w:w="80" w:type="dxa"/>
            </w:tcMar>
          </w:tcPr>
          <w:p>
            <w:pPr>
              <w:pStyle w:val="TableText"/>
              <w:jc w:val="left"/>
            </w:pPr>
            <w:r/>
            <w:r>
              <w:rPr>
                <w:rFonts w:ascii="Times New Roman" w:hAnsi="Times New Roman" w:eastAsia="Times New Roman"/>
                <w:sz w:val="17"/>
              </w:rPr>
              <w:t>aᵢ,U</w:t>
            </w:r>
          </w:p>
        </w:tc>
        <w:tc>
          <w:tcPr>
            <w:tcW w:type="dxa" w:w="4535"/>
            <w:vAlign w:val="top"/>
            <w:tcMar>
              <w:top w:w="70" w:type="dxa"/>
              <w:start w:w="80" w:type="dxa"/>
              <w:bottom w:w="70" w:type="dxa"/>
              <w:end w:w="80" w:type="dxa"/>
            </w:tcMar>
          </w:tcPr>
          <w:p>
            <w:pPr>
              <w:pStyle w:val="TableText"/>
              <w:jc w:val="left"/>
            </w:pPr>
            <w:r/>
            <w:r>
              <w:rPr>
                <w:rFonts w:ascii="Times New Roman" w:hAnsi="Times New Roman" w:eastAsia="Times New Roman"/>
                <w:sz w:val="17"/>
              </w:rPr>
              <w:t>1 — відсутні підтверджені неоднозначності; проміжне значення — є сигнали ризику; 0 — зафіксовано суттєву неоднозначність.</w:t>
            </w:r>
          </w:p>
        </w:tc>
        <w:tc>
          <w:tcPr>
            <w:tcW w:type="dxa" w:w="2268"/>
            <w:vAlign w:val="top"/>
            <w:tcMar>
              <w:top w:w="70" w:type="dxa"/>
              <w:start w:w="80" w:type="dxa"/>
              <w:bottom w:w="70" w:type="dxa"/>
              <w:end w:w="80" w:type="dxa"/>
            </w:tcMar>
          </w:tcPr>
          <w:p>
            <w:pPr>
              <w:pStyle w:val="TableText"/>
              <w:jc w:val="left"/>
            </w:pPr>
            <w:r/>
            <w:r>
              <w:rPr>
                <w:rFonts w:ascii="Times New Roman" w:hAnsi="Times New Roman" w:eastAsia="Times New Roman"/>
                <w:sz w:val="17"/>
              </w:rPr>
              <w:t>Лінгвістичний аналіз + рев’ю</w:t>
            </w:r>
          </w:p>
        </w:tc>
      </w:tr>
      <w:tr>
        <w:trPr>
          <w:cantSplit/>
        </w:trPr>
        <w:tc>
          <w:tcPr>
            <w:tcW w:type="dxa" w:w="1701"/>
            <w:vAlign w:val="top"/>
            <w:tcMar>
              <w:top w:w="70" w:type="dxa"/>
              <w:start w:w="80" w:type="dxa"/>
              <w:bottom w:w="70" w:type="dxa"/>
              <w:end w:w="80" w:type="dxa"/>
            </w:tcMar>
          </w:tcPr>
          <w:p>
            <w:pPr>
              <w:pStyle w:val="TableText"/>
              <w:jc w:val="left"/>
            </w:pPr>
            <w:r/>
            <w:r>
              <w:rPr>
                <w:rFonts w:ascii="Times New Roman" w:hAnsi="Times New Roman" w:eastAsia="Times New Roman"/>
                <w:sz w:val="17"/>
              </w:rPr>
              <w:t>Повнота окремої вимоги</w:t>
            </w:r>
          </w:p>
        </w:tc>
        <w:tc>
          <w:tcPr>
            <w:tcW w:type="dxa" w:w="1134"/>
            <w:vAlign w:val="top"/>
            <w:tcMar>
              <w:top w:w="70" w:type="dxa"/>
              <w:start w:w="80" w:type="dxa"/>
              <w:bottom w:w="70" w:type="dxa"/>
              <w:end w:w="80" w:type="dxa"/>
            </w:tcMar>
          </w:tcPr>
          <w:p>
            <w:pPr>
              <w:pStyle w:val="TableText"/>
              <w:jc w:val="left"/>
            </w:pPr>
            <w:r/>
            <w:r>
              <w:rPr>
                <w:rFonts w:ascii="Times New Roman" w:hAnsi="Times New Roman" w:eastAsia="Times New Roman"/>
                <w:sz w:val="17"/>
              </w:rPr>
              <w:t>aᵢ,C</w:t>
            </w:r>
          </w:p>
        </w:tc>
        <w:tc>
          <w:tcPr>
            <w:tcW w:type="dxa" w:w="4535"/>
            <w:vAlign w:val="top"/>
            <w:tcMar>
              <w:top w:w="70" w:type="dxa"/>
              <w:start w:w="80" w:type="dxa"/>
              <w:bottom w:w="70" w:type="dxa"/>
              <w:end w:w="80" w:type="dxa"/>
            </w:tcMar>
          </w:tcPr>
          <w:p>
            <w:pPr>
              <w:pStyle w:val="TableText"/>
              <w:jc w:val="left"/>
            </w:pPr>
            <w:r/>
            <w:r>
              <w:rPr>
                <w:rFonts w:ascii="Times New Roman" w:hAnsi="Times New Roman" w:eastAsia="Times New Roman"/>
                <w:sz w:val="17"/>
              </w:rPr>
              <w:t>Ступінь наявності обов’язкових змістових елементів, визначених типом вимоги або шаблоном.</w:t>
            </w:r>
          </w:p>
        </w:tc>
        <w:tc>
          <w:tcPr>
            <w:tcW w:type="dxa" w:w="2268"/>
            <w:vAlign w:val="top"/>
            <w:tcMar>
              <w:top w:w="70" w:type="dxa"/>
              <w:start w:w="80" w:type="dxa"/>
              <w:bottom w:w="70" w:type="dxa"/>
              <w:end w:w="80" w:type="dxa"/>
            </w:tcMar>
          </w:tcPr>
          <w:p>
            <w:pPr>
              <w:pStyle w:val="TableText"/>
              <w:jc w:val="left"/>
            </w:pPr>
            <w:r/>
            <w:r>
              <w:rPr>
                <w:rFonts w:ascii="Times New Roman" w:hAnsi="Times New Roman" w:eastAsia="Times New Roman"/>
                <w:sz w:val="17"/>
              </w:rPr>
              <w:t>Структурна перевірка + контекст</w:t>
            </w:r>
          </w:p>
        </w:tc>
      </w:tr>
      <w:tr>
        <w:trPr>
          <w:cantSplit/>
        </w:trPr>
        <w:tc>
          <w:tcPr>
            <w:tcW w:type="dxa" w:w="1701"/>
            <w:vAlign w:val="top"/>
            <w:tcMar>
              <w:top w:w="70" w:type="dxa"/>
              <w:start w:w="80" w:type="dxa"/>
              <w:bottom w:w="70" w:type="dxa"/>
              <w:end w:w="80" w:type="dxa"/>
            </w:tcMar>
          </w:tcPr>
          <w:p>
            <w:pPr>
              <w:pStyle w:val="TableText"/>
              <w:jc w:val="left"/>
            </w:pPr>
            <w:r/>
            <w:r>
              <w:rPr>
                <w:rFonts w:ascii="Times New Roman" w:hAnsi="Times New Roman" w:eastAsia="Times New Roman"/>
                <w:sz w:val="17"/>
              </w:rPr>
              <w:t>Одиничність</w:t>
            </w:r>
          </w:p>
        </w:tc>
        <w:tc>
          <w:tcPr>
            <w:tcW w:type="dxa" w:w="1134"/>
            <w:vAlign w:val="top"/>
            <w:tcMar>
              <w:top w:w="70" w:type="dxa"/>
              <w:start w:w="80" w:type="dxa"/>
              <w:bottom w:w="70" w:type="dxa"/>
              <w:end w:w="80" w:type="dxa"/>
            </w:tcMar>
          </w:tcPr>
          <w:p>
            <w:pPr>
              <w:pStyle w:val="TableText"/>
              <w:jc w:val="left"/>
            </w:pPr>
            <w:r/>
            <w:r>
              <w:rPr>
                <w:rFonts w:ascii="Times New Roman" w:hAnsi="Times New Roman" w:eastAsia="Times New Roman"/>
                <w:sz w:val="17"/>
              </w:rPr>
              <w:t>aᵢ,S</w:t>
            </w:r>
          </w:p>
        </w:tc>
        <w:tc>
          <w:tcPr>
            <w:tcW w:type="dxa" w:w="4535"/>
            <w:vAlign w:val="top"/>
            <w:tcMar>
              <w:top w:w="70" w:type="dxa"/>
              <w:start w:w="80" w:type="dxa"/>
              <w:bottom w:w="70" w:type="dxa"/>
              <w:end w:w="80" w:type="dxa"/>
            </w:tcMar>
          </w:tcPr>
          <w:p>
            <w:pPr>
              <w:pStyle w:val="TableText"/>
              <w:jc w:val="left"/>
            </w:pPr>
            <w:r/>
            <w:r>
              <w:rPr>
                <w:rFonts w:ascii="Times New Roman" w:hAnsi="Times New Roman" w:eastAsia="Times New Roman"/>
                <w:sz w:val="17"/>
              </w:rPr>
              <w:t>1 — одна логічна вимога; 0 — декілька незалежних зобов’язань; можливе проміжне значення для складних конструкцій.</w:t>
            </w:r>
          </w:p>
        </w:tc>
        <w:tc>
          <w:tcPr>
            <w:tcW w:type="dxa" w:w="2268"/>
            <w:vAlign w:val="top"/>
            <w:tcMar>
              <w:top w:w="70" w:type="dxa"/>
              <w:start w:w="80" w:type="dxa"/>
              <w:bottom w:w="70" w:type="dxa"/>
              <w:end w:w="80" w:type="dxa"/>
            </w:tcMar>
          </w:tcPr>
          <w:p>
            <w:pPr>
              <w:pStyle w:val="TableText"/>
              <w:jc w:val="left"/>
            </w:pPr>
            <w:r/>
            <w:r>
              <w:rPr>
                <w:rFonts w:ascii="Times New Roman" w:hAnsi="Times New Roman" w:eastAsia="Times New Roman"/>
                <w:sz w:val="17"/>
              </w:rPr>
              <w:t>Синтаксичний/семантичний аналіз</w:t>
            </w:r>
          </w:p>
        </w:tc>
      </w:tr>
      <w:tr>
        <w:trPr>
          <w:cantSplit/>
        </w:trPr>
        <w:tc>
          <w:tcPr>
            <w:tcW w:type="dxa" w:w="1701"/>
            <w:vAlign w:val="top"/>
            <w:tcMar>
              <w:top w:w="70" w:type="dxa"/>
              <w:start w:w="80" w:type="dxa"/>
              <w:bottom w:w="70" w:type="dxa"/>
              <w:end w:w="80" w:type="dxa"/>
            </w:tcMar>
          </w:tcPr>
          <w:p>
            <w:pPr>
              <w:pStyle w:val="TableText"/>
              <w:jc w:val="left"/>
            </w:pPr>
            <w:r/>
            <w:r>
              <w:rPr>
                <w:rFonts w:ascii="Times New Roman" w:hAnsi="Times New Roman" w:eastAsia="Times New Roman"/>
                <w:sz w:val="17"/>
              </w:rPr>
              <w:t>Перевірюваність</w:t>
            </w:r>
          </w:p>
        </w:tc>
        <w:tc>
          <w:tcPr>
            <w:tcW w:type="dxa" w:w="1134"/>
            <w:vAlign w:val="top"/>
            <w:tcMar>
              <w:top w:w="70" w:type="dxa"/>
              <w:start w:w="80" w:type="dxa"/>
              <w:bottom w:w="70" w:type="dxa"/>
              <w:end w:w="80" w:type="dxa"/>
            </w:tcMar>
          </w:tcPr>
          <w:p>
            <w:pPr>
              <w:pStyle w:val="TableText"/>
              <w:jc w:val="left"/>
            </w:pPr>
            <w:r/>
            <w:r>
              <w:rPr>
                <w:rFonts w:ascii="Times New Roman" w:hAnsi="Times New Roman" w:eastAsia="Times New Roman"/>
                <w:sz w:val="17"/>
              </w:rPr>
              <w:t>aᵢ,V</w:t>
            </w:r>
          </w:p>
        </w:tc>
        <w:tc>
          <w:tcPr>
            <w:tcW w:type="dxa" w:w="4535"/>
            <w:vAlign w:val="top"/>
            <w:tcMar>
              <w:top w:w="70" w:type="dxa"/>
              <w:start w:w="80" w:type="dxa"/>
              <w:bottom w:w="70" w:type="dxa"/>
              <w:end w:w="80" w:type="dxa"/>
            </w:tcMar>
          </w:tcPr>
          <w:p>
            <w:pPr>
              <w:pStyle w:val="TableText"/>
              <w:jc w:val="left"/>
            </w:pPr>
            <w:r/>
            <w:r>
              <w:rPr>
                <w:rFonts w:ascii="Times New Roman" w:hAnsi="Times New Roman" w:eastAsia="Times New Roman"/>
                <w:sz w:val="17"/>
              </w:rPr>
              <w:t>Ступінь наявності спостережуваного критерію, порога та/або визначеного способу перевірки.</w:t>
            </w:r>
          </w:p>
        </w:tc>
        <w:tc>
          <w:tcPr>
            <w:tcW w:type="dxa" w:w="2268"/>
            <w:vAlign w:val="top"/>
            <w:tcMar>
              <w:top w:w="70" w:type="dxa"/>
              <w:start w:w="80" w:type="dxa"/>
              <w:bottom w:w="70" w:type="dxa"/>
              <w:end w:w="80" w:type="dxa"/>
            </w:tcMar>
          </w:tcPr>
          <w:p>
            <w:pPr>
              <w:pStyle w:val="TableText"/>
              <w:jc w:val="left"/>
            </w:pPr>
            <w:r/>
            <w:r>
              <w:rPr>
                <w:rFonts w:ascii="Times New Roman" w:hAnsi="Times New Roman" w:eastAsia="Times New Roman"/>
                <w:sz w:val="17"/>
              </w:rPr>
              <w:t>Структурна перевірка + експерт</w:t>
            </w:r>
          </w:p>
        </w:tc>
      </w:tr>
      <w:tr>
        <w:trPr>
          <w:cantSplit/>
        </w:trPr>
        <w:tc>
          <w:tcPr>
            <w:tcW w:type="dxa" w:w="1701"/>
            <w:vAlign w:val="top"/>
            <w:tcMar>
              <w:top w:w="70" w:type="dxa"/>
              <w:start w:w="80" w:type="dxa"/>
              <w:bottom w:w="70" w:type="dxa"/>
              <w:end w:w="80" w:type="dxa"/>
            </w:tcMar>
          </w:tcPr>
          <w:p>
            <w:pPr>
              <w:pStyle w:val="TableText"/>
              <w:jc w:val="left"/>
            </w:pPr>
            <w:r/>
            <w:r>
              <w:rPr>
                <w:rFonts w:ascii="Times New Roman" w:hAnsi="Times New Roman" w:eastAsia="Times New Roman"/>
                <w:sz w:val="17"/>
              </w:rPr>
              <w:t>Відповідність правилам</w:t>
            </w:r>
          </w:p>
        </w:tc>
        <w:tc>
          <w:tcPr>
            <w:tcW w:type="dxa" w:w="1134"/>
            <w:vAlign w:val="top"/>
            <w:tcMar>
              <w:top w:w="70" w:type="dxa"/>
              <w:start w:w="80" w:type="dxa"/>
              <w:bottom w:w="70" w:type="dxa"/>
              <w:end w:w="80" w:type="dxa"/>
            </w:tcMar>
          </w:tcPr>
          <w:p>
            <w:pPr>
              <w:pStyle w:val="TableText"/>
              <w:jc w:val="left"/>
            </w:pPr>
            <w:r/>
            <w:r>
              <w:rPr>
                <w:rFonts w:ascii="Times New Roman" w:hAnsi="Times New Roman" w:eastAsia="Times New Roman"/>
                <w:sz w:val="17"/>
              </w:rPr>
              <w:t>aᵢ,F</w:t>
            </w:r>
          </w:p>
        </w:tc>
        <w:tc>
          <w:tcPr>
            <w:tcW w:type="dxa" w:w="4535"/>
            <w:vAlign w:val="top"/>
            <w:tcMar>
              <w:top w:w="70" w:type="dxa"/>
              <w:start w:w="80" w:type="dxa"/>
              <w:bottom w:w="70" w:type="dxa"/>
              <w:end w:w="80" w:type="dxa"/>
            </w:tcMar>
          </w:tcPr>
          <w:p>
            <w:pPr>
              <w:pStyle w:val="TableText"/>
              <w:jc w:val="left"/>
            </w:pPr>
            <w:r/>
            <w:r>
              <w:rPr>
                <w:rFonts w:ascii="Times New Roman" w:hAnsi="Times New Roman" w:eastAsia="Times New Roman"/>
                <w:sz w:val="17"/>
              </w:rPr>
              <w:t>Частка виконаних формальних правил шаблону, термінології та оформлення.</w:t>
            </w:r>
          </w:p>
        </w:tc>
        <w:tc>
          <w:tcPr>
            <w:tcW w:type="dxa" w:w="2268"/>
            <w:vAlign w:val="top"/>
            <w:tcMar>
              <w:top w:w="70" w:type="dxa"/>
              <w:start w:w="80" w:type="dxa"/>
              <w:bottom w:w="70" w:type="dxa"/>
              <w:end w:w="80" w:type="dxa"/>
            </w:tcMar>
          </w:tcPr>
          <w:p>
            <w:pPr>
              <w:pStyle w:val="TableText"/>
              <w:jc w:val="left"/>
            </w:pPr>
            <w:r/>
            <w:r>
              <w:rPr>
                <w:rFonts w:ascii="Times New Roman" w:hAnsi="Times New Roman" w:eastAsia="Times New Roman"/>
                <w:sz w:val="17"/>
              </w:rPr>
              <w:t>Автоматизована перевірка</w:t>
            </w:r>
          </w:p>
        </w:tc>
      </w:tr>
      <w:tr>
        <w:trPr>
          <w:cantSplit/>
        </w:trPr>
        <w:tc>
          <w:tcPr>
            <w:tcW w:type="dxa" w:w="1701"/>
            <w:vAlign w:val="top"/>
            <w:tcMar>
              <w:top w:w="70" w:type="dxa"/>
              <w:start w:w="80" w:type="dxa"/>
              <w:bottom w:w="70" w:type="dxa"/>
              <w:end w:w="80" w:type="dxa"/>
            </w:tcMar>
          </w:tcPr>
          <w:p>
            <w:pPr>
              <w:pStyle w:val="TableText"/>
              <w:jc w:val="left"/>
            </w:pPr>
            <w:r/>
            <w:r>
              <w:rPr>
                <w:rFonts w:ascii="Times New Roman" w:hAnsi="Times New Roman" w:eastAsia="Times New Roman"/>
                <w:sz w:val="17"/>
              </w:rPr>
              <w:t>Коректність</w:t>
            </w:r>
          </w:p>
        </w:tc>
        <w:tc>
          <w:tcPr>
            <w:tcW w:type="dxa" w:w="1134"/>
            <w:vAlign w:val="top"/>
            <w:tcMar>
              <w:top w:w="70" w:type="dxa"/>
              <w:start w:w="80" w:type="dxa"/>
              <w:bottom w:w="70" w:type="dxa"/>
              <w:end w:w="80" w:type="dxa"/>
            </w:tcMar>
          </w:tcPr>
          <w:p>
            <w:pPr>
              <w:pStyle w:val="TableText"/>
              <w:jc w:val="left"/>
            </w:pPr>
            <w:r/>
            <w:r>
              <w:rPr>
                <w:rFonts w:ascii="Times New Roman" w:hAnsi="Times New Roman" w:eastAsia="Times New Roman"/>
                <w:sz w:val="17"/>
              </w:rPr>
              <w:t>aᵢ,R</w:t>
            </w:r>
          </w:p>
        </w:tc>
        <w:tc>
          <w:tcPr>
            <w:tcW w:type="dxa" w:w="4535"/>
            <w:vAlign w:val="top"/>
            <w:tcMar>
              <w:top w:w="70" w:type="dxa"/>
              <w:start w:w="80" w:type="dxa"/>
              <w:bottom w:w="70" w:type="dxa"/>
              <w:end w:w="80" w:type="dxa"/>
            </w:tcMar>
          </w:tcPr>
          <w:p>
            <w:pPr>
              <w:pStyle w:val="TableText"/>
              <w:jc w:val="left"/>
            </w:pPr>
            <w:r/>
            <w:r>
              <w:rPr>
                <w:rFonts w:ascii="Times New Roman" w:hAnsi="Times New Roman" w:eastAsia="Times New Roman"/>
                <w:sz w:val="17"/>
              </w:rPr>
              <w:t>Ступінь підтвердження вимоги авторитетним доменним джерелом або зацікавленою стороною.</w:t>
            </w:r>
          </w:p>
        </w:tc>
        <w:tc>
          <w:tcPr>
            <w:tcW w:type="dxa" w:w="2268"/>
            <w:vAlign w:val="top"/>
            <w:tcMar>
              <w:top w:w="70" w:type="dxa"/>
              <w:start w:w="80" w:type="dxa"/>
              <w:bottom w:w="70" w:type="dxa"/>
              <w:end w:w="80" w:type="dxa"/>
            </w:tcMar>
          </w:tcPr>
          <w:p>
            <w:pPr>
              <w:pStyle w:val="TableText"/>
              <w:jc w:val="left"/>
            </w:pPr>
            <w:r/>
            <w:r>
              <w:rPr>
                <w:rFonts w:ascii="Times New Roman" w:hAnsi="Times New Roman" w:eastAsia="Times New Roman"/>
                <w:sz w:val="17"/>
              </w:rPr>
              <w:t>Доменна валідація</w:t>
            </w:r>
          </w:p>
        </w:tc>
      </w:tr>
      <w:tr>
        <w:trPr>
          <w:cantSplit/>
        </w:trPr>
        <w:tc>
          <w:tcPr>
            <w:tcW w:type="dxa" w:w="1701"/>
            <w:vAlign w:val="top"/>
            <w:tcMar>
              <w:top w:w="70" w:type="dxa"/>
              <w:start w:w="80" w:type="dxa"/>
              <w:bottom w:w="70" w:type="dxa"/>
              <w:end w:w="80" w:type="dxa"/>
            </w:tcMar>
          </w:tcPr>
          <w:p>
            <w:pPr>
              <w:pStyle w:val="TableText"/>
              <w:jc w:val="left"/>
            </w:pPr>
            <w:r/>
            <w:r>
              <w:rPr>
                <w:rFonts w:ascii="Times New Roman" w:hAnsi="Times New Roman" w:eastAsia="Times New Roman"/>
                <w:sz w:val="17"/>
              </w:rPr>
              <w:t>Здійсненність</w:t>
            </w:r>
          </w:p>
        </w:tc>
        <w:tc>
          <w:tcPr>
            <w:tcW w:type="dxa" w:w="1134"/>
            <w:vAlign w:val="top"/>
            <w:tcMar>
              <w:top w:w="70" w:type="dxa"/>
              <w:start w:w="80" w:type="dxa"/>
              <w:bottom w:w="70" w:type="dxa"/>
              <w:end w:w="80" w:type="dxa"/>
            </w:tcMar>
          </w:tcPr>
          <w:p>
            <w:pPr>
              <w:pStyle w:val="TableText"/>
              <w:jc w:val="left"/>
            </w:pPr>
            <w:r/>
            <w:r>
              <w:rPr>
                <w:rFonts w:ascii="Times New Roman" w:hAnsi="Times New Roman" w:eastAsia="Times New Roman"/>
                <w:sz w:val="17"/>
              </w:rPr>
              <w:t>aᵢ,E</w:t>
            </w:r>
          </w:p>
        </w:tc>
        <w:tc>
          <w:tcPr>
            <w:tcW w:type="dxa" w:w="4535"/>
            <w:vAlign w:val="top"/>
            <w:tcMar>
              <w:top w:w="70" w:type="dxa"/>
              <w:start w:w="80" w:type="dxa"/>
              <w:bottom w:w="70" w:type="dxa"/>
              <w:end w:w="80" w:type="dxa"/>
            </w:tcMar>
          </w:tcPr>
          <w:p>
            <w:pPr>
              <w:pStyle w:val="TableText"/>
              <w:jc w:val="left"/>
            </w:pPr>
            <w:r/>
            <w:r>
              <w:rPr>
                <w:rFonts w:ascii="Times New Roman" w:hAnsi="Times New Roman" w:eastAsia="Times New Roman"/>
                <w:sz w:val="17"/>
              </w:rPr>
              <w:t>Ступінь підтвердження технічної, ресурсної та нормативної здійсненності.</w:t>
            </w:r>
          </w:p>
        </w:tc>
        <w:tc>
          <w:tcPr>
            <w:tcW w:type="dxa" w:w="2268"/>
            <w:vAlign w:val="top"/>
            <w:tcMar>
              <w:top w:w="70" w:type="dxa"/>
              <w:start w:w="80" w:type="dxa"/>
              <w:bottom w:w="70" w:type="dxa"/>
              <w:end w:w="80" w:type="dxa"/>
            </w:tcMar>
          </w:tcPr>
          <w:p>
            <w:pPr>
              <w:pStyle w:val="TableText"/>
              <w:jc w:val="left"/>
            </w:pPr>
            <w:r/>
            <w:r>
              <w:rPr>
                <w:rFonts w:ascii="Times New Roman" w:hAnsi="Times New Roman" w:eastAsia="Times New Roman"/>
                <w:sz w:val="17"/>
              </w:rPr>
              <w:t>Експертна/модельна оцінка</w:t>
            </w:r>
          </w:p>
        </w:tc>
      </w:tr>
    </w:tbl>
    <w:p>
      <w:pPr>
        <w:spacing w:after="0"/>
      </w:pPr>
    </w:p>
    <w:p>
      <w:pPr>
        <w:jc w:val="both"/>
      </w:pPr>
      <w:r>
        <w:t>Запропонована операціоналізація є робочою формою представлення властивостей, а не нормативно встановленим набором метрик. Її призначення — забезпечити єдину математичну форму для подальшого аналізу різнотипних вимог. Конкретні пороги, шкали, ваги й правила агрегування повинні визначатися на основі типу програмного продукту, структури специфікації та емпіричних даних, а не призначатися довільно.</w:t>
      </w:r>
    </w:p>
    <w:p>
      <w:pPr>
        <w:jc w:val="both"/>
      </w:pPr>
      <w:r>
        <w:t>Важливим наслідком такої постановки є розмежування двох задач: оцінювання якості вимог як інформаційного артефакту та оцінювання якості майбутнього програмного продукту. Перша задача може виконуватися без програмного коду і формує вектор Xᴿ. Друга потребує встановлення того, які компоненти Xᴿ пов’язані з певними характеристиками якості програмного продукту та якою є сила цих зв’язків. Саме це розмежування запобігає методологічній помилці, коли «добре написані вимоги» автоматично прирівнюються до «якісного програмного забезпечення».</w:t>
      </w:r>
    </w:p>
    <w:p>
      <w:pPr>
        <w:jc w:val="both"/>
      </w:pPr>
      <w:r>
        <w:t>Таким чином, у підрозділі визначено систему властивостей, що дозволяє описувати якість вимог на індивідуальному та специфікаційному рівнях, сформовано класи дефектів та запропоновано загальну нормовану форму представлення результатів їх оцінювання. Встановлено, що частина властивостей має безпосередньо спостережувані текстові або структурні ознаки, тоді як необхідність, коректність, доречність і здійсненність вимагають зовнішніх контекстних свідчень. Отримане представлення Xᴿ створює основу для наступного етапу — дослідження взаємозв’язку між властивостями вимог та характеристиками якості програмного забезпечення у підрозділі 2.2.</w:t>
      </w:r>
    </w:p>
    <w:p>
      <w:pPr>
        <w:pStyle w:val="Heading1"/>
      </w:pPr>
      <w:r>
        <w:t>Список джерел до підрозділу 2.1</w:t>
      </w:r>
    </w:p>
    <w:p>
      <w:r>
        <w:t>15. ISO/IEC/IEEE 29148:2018. Systems and software engineering — Life cycle processes — Requirements engineering. Geneva: ISO, 2018.</w:t>
      </w:r>
    </w:p>
    <w:p>
      <w:r>
        <w:t>18. Femmer H., Méndez Fernández D., Wagner S., Eder S. Rapid quality assurance with Requirements Smells. Journal of Systems and Software. 2017. Vol. 123. P. 190–213. DOI: 10.1016/j.jss.2016.02.047.</w:t>
      </w:r>
    </w:p>
    <w:p>
      <w:r>
        <w:t>24. Frattini J., Montgomery L., Fischbach J., Mendez D., Fucci D., Unterkalmsteiner M. Requirements quality research: a harmonized theory, evaluation, and roadmap. Requirements Engineering. 2023. Vol. 28. P. 507–520. DOI: 10.1007/s00766-023-00405-y.</w:t>
      </w:r>
    </w:p>
    <w:p>
      <w:r>
        <w:t>30. Davis A., Overmyer S., Jordan K., Caruso J., Dandashi F., Dinh A., Kincaid G., Ledeboer G., Reynolds P., Sitaram P., Ta A., Theofanos M. Identifying and measuring quality in a software requirements specification. Proceedings of the First International Software Metrics Symposium. 1993. P. 141–152.</w:t>
      </w:r>
    </w:p>
    <w:p>
      <w:r>
        <w:t>31. Montgomery L., Fucci D., Bouraffa A., Scholz L., Maalej W. Empirical research on requirements quality: a systematic mapping study. Requirements Engineering. 2022. Vol. 27. P. 183–209. DOI: 10.1007/s00766-021-00367-z.</w:t>
      </w:r>
    </w:p>
    <w:p>
      <w:r>
        <w:t>32. Mund J., Méndez Fernández D., Femmer H., Eckhardt J. Does Quality of Requirements Specifications Matter? Combined Results of Two Empirical Studies. 2015 ACM/IEEE International Symposium on Empirical Software Engineering and Measurement (ESEM). 2015. P. 1–10. DOI: 10.1109/ESEM.2015.7321195.</w:t>
      </w:r>
    </w:p>
    <w:sectPr w:rsidR="00FC693F" w:rsidRPr="0006063C" w:rsidSect="00034616">
      <w:pgSz w:w="11906" w:h="16838"/>
      <w:pgMar w:top="1134" w:right="56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line="360" w:lineRule="auto"/>
      <w:jc w:val="left"/>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
    <w:name w:val="Eq"/>
    <w:pPr>
      <w:spacing w:line="360" w:lineRule="auto" w:before="60" w:after="60"/>
      <w:ind w:firstLine="0"/>
      <w:jc w:val="center"/>
    </w:pPr>
    <w:rPr>
      <w:rFonts w:ascii="Times New Roman" w:hAnsi="Times New Roman" w:eastAsia="Times New Roman"/>
      <w:i/>
      <w:sz w:val="28"/>
    </w:rPr>
  </w:style>
  <w:style w:type="paragraph" w:customStyle="1" w:styleId="TableText">
    <w:name w:val="TableText"/>
    <w:pPr>
      <w:spacing w:line="240" w:lineRule="auto" w:before="0" w:after="0"/>
      <w:ind w:firstLine="0"/>
    </w:pPr>
    <w:rPr>
      <w:rFonts w:ascii="Times New Roman" w:hAnsi="Times New Roman" w:eastAsia="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