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2.2. Взаємозв’язок властивостей вимог із характеристиками та показниками якості програмного забезпечення</w:t>
      </w:r>
    </w:p>
    <w:p>
      <w:pPr>
        <w:jc w:val="both"/>
      </w:pPr>
      <w:r>
        <w:t>У підрозділі 2.1 сформовано нормоване представлення стану вимог Xᴿ, яке відображає ступінь дотримання таких властивостей, як однозначність, повнота, одиничність, перевірюваність, коректність, здійсненність і відповідність установленим правилам. Наступним кроком є встановлення того, яким чином ці властивості та зміст самих вимог можуть бути пов’язані з характеристиками якості майбутнього програмного продукту. Принципово важливо не ототожнювати ці два рівні: якість вимог характеризує інформаційний артефакт, тоді як якість програмного забезпечення характеризує властивості реалізованого продукту та його поведінки.</w:t>
      </w:r>
    </w:p>
    <w:p>
      <w:pPr>
        <w:jc w:val="both"/>
      </w:pPr>
      <w:r>
        <w:t>ISO/IEC 25010:2023 визначає модель якості програмного продукту з дев’яти характеристик і прямо передбачає використання цієї моделі для формування вимог, перевірки повноти їх визначення, встановлення цілей тестування, критеріїв приймання та мір якості [4]. Це створює нормативне підґрунтя для зв’язування вимог із характеристиками якості, але сам стандарт не задає універсальної функції, яка дозволяла б за якістю тексту специфікації обчислити майбутню якість програмного продукту. Такий перехід потребує додаткової моделі та емпіричної перевірки.</w:t>
      </w:r>
    </w:p>
    <w:p>
      <w:pPr>
        <w:jc w:val="both"/>
      </w:pPr>
      <w:r>
        <w:t>У межах цього дослідження доцільно розрізняти два незалежні, але взаємопов’язані аспекти вимог. Перший аспект — семантичний зміст вимоги: що саме вона вимагає від системи. Наприклад, обмеження «95 % запитів мають оброблятися не довше ніж за 2 с» безпосередньо задає ціль продуктивності, а вимога щодо багатофакторної автентифікації — механізм, пов’язаний із безпекою. Другий аспект — якість самої вимоги як інформаційного артефакту: чи є вона однозначною, повною, узгодженою, перевірюваною та трасованою. Ці властивості не задають якість програмного продукту безпосередньо, але визначають, наскільки надійно вимога може бути реалізована й перевірена.</w:t>
      </w:r>
    </w:p>
    <w:p>
      <w:pPr>
        <w:jc w:val="both"/>
      </w:pPr>
      <w:r>
        <w:t>Отже, твердження про взаємозв’язок вимог і якості ПЗ доцільно будувати не як просту причинну залежність «кращі вимоги — кращий продукт», а як систему різних механізмів. Сучасна теорія якості вимог підкреслює, що дослідження часто зосереджуються на нормативних правилах формулювання і недостатньо пов’язують їх із наслідками для подальших процесів розробки [24]. Систематичне картування емпіричних робіт також показує широкий спектр досліджуваних атрибутів вимог і відсутність єдиного універсального набору ознак, валідного для всіх контекстів [31].</w:t>
      </w:r>
    </w:p>
    <w:p>
      <w:pPr>
        <w:jc w:val="both"/>
      </w:pPr>
      <w:r>
        <w:t>Для опису цільової сторони взаємозв’язку введемо множину характеристик якості програмного продукту Q = {q₁, q₂, …, q₉}, що відповідає дев’яти характеристикам ISO/IEC 25010:2023 [4]. На етапі вимог ці характеристики ще не можуть бути виміряні як властивості готового продукту, однак для них можуть бути сформовані вимоги, критерії приймання та ранні індикатори. Після реалізації відповідні характеристики можуть оцінюватися на основі вимірювань продукту відповідно до рамки SQuaRE [7, 9].</w:t>
      </w:r>
    </w:p>
    <w:p>
      <w:pPr>
        <w:pStyle w:val="Eq"/>
      </w:pPr>
      <w:r>
        <w:t>Q = {q₁, q₂, …, q₉}.</w:t>
      </w:r>
    </w:p>
    <w:p>
      <w:pPr>
        <w:jc w:val="both"/>
      </w:pPr>
      <w:r>
        <w:t>У таблиці 2.4 наведено не нормативні метрики, а аналітичне зіставлення характеристик ISO/IEC 25010:2023 із типами свідчень, які можуть бути присутні у вимогах до початку реалізації. Воно показує, що для різних характеристик доступність ранньої інформації істотно відрізняється: функціональна придатність, продуктивність або безпека часто можуть бути конкретизовані через явні критерії, тоді як супроводжуваність чи гнучкість частково залежать від архітектурних рішень, яких на етапі початкової специфікації ще може не існувати.</w:t>
      </w:r>
    </w:p>
    <w:p>
      <w:pPr>
        <w:ind w:firstLine="0"/>
        <w:jc w:val="left"/>
        <w:keepNext/>
      </w:pPr>
      <w:r>
        <w:t>Таблиця 2.4 – Характеристики якості програмного продукту та інформаційні свідчення на рівні вимог</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701"/>
            <w:shd w:fill="D9EAF7"/>
            <w:vAlign w:val="center"/>
            <w:tcMar>
              <w:top w:w="60" w:type="dxa"/>
              <w:start w:w="70" w:type="dxa"/>
              <w:bottom w:w="60" w:type="dxa"/>
              <w:end w:w="70" w:type="dxa"/>
            </w:tcMar>
          </w:tcPr>
          <w:p>
            <w:pPr>
              <w:pStyle w:val="TableText"/>
              <w:jc w:val="center"/>
            </w:pPr>
            <w:r/>
            <w:r>
              <w:rPr>
                <w:rFonts w:ascii="Times New Roman" w:hAnsi="Times New Roman" w:eastAsia="Times New Roman"/>
                <w:b/>
                <w:sz w:val="16"/>
              </w:rPr>
              <w:t>Характеристика</w:t>
            </w:r>
          </w:p>
        </w:tc>
        <w:tc>
          <w:tcPr>
            <w:tcW w:type="dxa" w:w="2835"/>
            <w:shd w:fill="D9EAF7"/>
            <w:vAlign w:val="center"/>
            <w:tcMar>
              <w:top w:w="60" w:type="dxa"/>
              <w:start w:w="70" w:type="dxa"/>
              <w:bottom w:w="60" w:type="dxa"/>
              <w:end w:w="70" w:type="dxa"/>
            </w:tcMar>
          </w:tcPr>
          <w:p>
            <w:pPr>
              <w:pStyle w:val="TableText"/>
              <w:jc w:val="center"/>
            </w:pPr>
            <w:r/>
            <w:r>
              <w:rPr>
                <w:rFonts w:ascii="Times New Roman" w:hAnsi="Times New Roman" w:eastAsia="Times New Roman"/>
                <w:b/>
                <w:sz w:val="16"/>
              </w:rPr>
              <w:t>Типові свідчення у вимогах</w:t>
            </w:r>
          </w:p>
        </w:tc>
        <w:tc>
          <w:tcPr>
            <w:tcW w:type="dxa" w:w="2494"/>
            <w:shd w:fill="D9EAF7"/>
            <w:vAlign w:val="center"/>
            <w:tcMar>
              <w:top w:w="60" w:type="dxa"/>
              <w:start w:w="70" w:type="dxa"/>
              <w:bottom w:w="60" w:type="dxa"/>
              <w:end w:w="70" w:type="dxa"/>
            </w:tcMar>
          </w:tcPr>
          <w:p>
            <w:pPr>
              <w:pStyle w:val="TableText"/>
              <w:jc w:val="center"/>
            </w:pPr>
            <w:r/>
            <w:r>
              <w:rPr>
                <w:rFonts w:ascii="Times New Roman" w:hAnsi="Times New Roman" w:eastAsia="Times New Roman"/>
                <w:b/>
                <w:sz w:val="16"/>
              </w:rPr>
              <w:t>Ранні індикатори специфікації</w:t>
            </w:r>
          </w:p>
        </w:tc>
        <w:tc>
          <w:tcPr>
            <w:tcW w:type="dxa" w:w="2665"/>
            <w:shd w:fill="D9EAF7"/>
            <w:vAlign w:val="center"/>
            <w:tcMar>
              <w:top w:w="60" w:type="dxa"/>
              <w:start w:w="70" w:type="dxa"/>
              <w:bottom w:w="60" w:type="dxa"/>
              <w:end w:w="70" w:type="dxa"/>
            </w:tcMar>
          </w:tcPr>
          <w:p>
            <w:pPr>
              <w:pStyle w:val="TableText"/>
              <w:jc w:val="center"/>
            </w:pPr>
            <w:r/>
            <w:r>
              <w:rPr>
                <w:rFonts w:ascii="Times New Roman" w:hAnsi="Times New Roman" w:eastAsia="Times New Roman"/>
                <w:b/>
                <w:sz w:val="16"/>
              </w:rPr>
              <w:t>Показники після реалізації</w:t>
            </w:r>
          </w:p>
        </w:tc>
      </w:tr>
      <w:tr>
        <w:trPr>
          <w:cantSplit/>
        </w:trPr>
        <w:tc>
          <w:tcPr>
            <w:tcW w:type="dxa" w:w="1701"/>
            <w:vAlign w:val="top"/>
            <w:tcMar>
              <w:top w:w="60" w:type="dxa"/>
              <w:start w:w="70" w:type="dxa"/>
              <w:bottom w:w="60" w:type="dxa"/>
              <w:end w:w="70" w:type="dxa"/>
            </w:tcMar>
          </w:tcPr>
          <w:p>
            <w:pPr>
              <w:pStyle w:val="TableText"/>
              <w:jc w:val="left"/>
            </w:pPr>
            <w:r/>
            <w:r>
              <w:rPr>
                <w:rFonts w:ascii="Times New Roman" w:hAnsi="Times New Roman" w:eastAsia="Times New Roman"/>
                <w:sz w:val="16"/>
              </w:rPr>
              <w:t>Функціональна придатність</w:t>
            </w:r>
          </w:p>
        </w:tc>
        <w:tc>
          <w:tcPr>
            <w:tcW w:type="dxa" w:w="2835"/>
            <w:vAlign w:val="top"/>
            <w:tcMar>
              <w:top w:w="60" w:type="dxa"/>
              <w:start w:w="70" w:type="dxa"/>
              <w:bottom w:w="60" w:type="dxa"/>
              <w:end w:w="70" w:type="dxa"/>
            </w:tcMar>
          </w:tcPr>
          <w:p>
            <w:pPr>
              <w:pStyle w:val="TableText"/>
              <w:jc w:val="left"/>
            </w:pPr>
            <w:r/>
            <w:r>
              <w:rPr>
                <w:rFonts w:ascii="Times New Roman" w:hAnsi="Times New Roman" w:eastAsia="Times New Roman"/>
                <w:sz w:val="16"/>
              </w:rPr>
              <w:t>Функціональні вимоги, сценарії, правила обробки, очікувані результати, критерії приймання.</w:t>
            </w:r>
          </w:p>
        </w:tc>
        <w:tc>
          <w:tcPr>
            <w:tcW w:type="dxa" w:w="2494"/>
            <w:vAlign w:val="top"/>
            <w:tcMar>
              <w:top w:w="60" w:type="dxa"/>
              <w:start w:w="70" w:type="dxa"/>
              <w:bottom w:w="60" w:type="dxa"/>
              <w:end w:w="70" w:type="dxa"/>
            </w:tcMar>
          </w:tcPr>
          <w:p>
            <w:pPr>
              <w:pStyle w:val="TableText"/>
              <w:jc w:val="left"/>
            </w:pPr>
            <w:r/>
            <w:r>
              <w:rPr>
                <w:rFonts w:ascii="Times New Roman" w:hAnsi="Times New Roman" w:eastAsia="Times New Roman"/>
                <w:sz w:val="16"/>
              </w:rPr>
              <w:t>Повнота покриття функцій; визначеність очікуваних результатів; перевірюваність сценаріїв.</w:t>
            </w:r>
          </w:p>
        </w:tc>
        <w:tc>
          <w:tcPr>
            <w:tcW w:type="dxa" w:w="2665"/>
            <w:vAlign w:val="top"/>
            <w:tcMar>
              <w:top w:w="60" w:type="dxa"/>
              <w:start w:w="70" w:type="dxa"/>
              <w:bottom w:w="60" w:type="dxa"/>
              <w:end w:w="70" w:type="dxa"/>
            </w:tcMar>
          </w:tcPr>
          <w:p>
            <w:pPr>
              <w:pStyle w:val="TableText"/>
              <w:jc w:val="left"/>
            </w:pPr>
            <w:r/>
            <w:r>
              <w:rPr>
                <w:rFonts w:ascii="Times New Roman" w:hAnsi="Times New Roman" w:eastAsia="Times New Roman"/>
                <w:sz w:val="16"/>
              </w:rPr>
              <w:t>Реалізація функцій, коректність результатів, покриття приймальними перевірками.</w:t>
            </w:r>
          </w:p>
        </w:tc>
      </w:tr>
      <w:tr>
        <w:trPr>
          <w:cantSplit/>
        </w:trPr>
        <w:tc>
          <w:tcPr>
            <w:tcW w:type="dxa" w:w="1701"/>
            <w:vAlign w:val="top"/>
            <w:tcMar>
              <w:top w:w="60" w:type="dxa"/>
              <w:start w:w="70" w:type="dxa"/>
              <w:bottom w:w="60" w:type="dxa"/>
              <w:end w:w="70" w:type="dxa"/>
            </w:tcMar>
          </w:tcPr>
          <w:p>
            <w:pPr>
              <w:pStyle w:val="TableText"/>
              <w:jc w:val="left"/>
            </w:pPr>
            <w:r/>
            <w:r>
              <w:rPr>
                <w:rFonts w:ascii="Times New Roman" w:hAnsi="Times New Roman" w:eastAsia="Times New Roman"/>
                <w:sz w:val="16"/>
              </w:rPr>
              <w:t>Ефективність продуктивності</w:t>
            </w:r>
          </w:p>
        </w:tc>
        <w:tc>
          <w:tcPr>
            <w:tcW w:type="dxa" w:w="2835"/>
            <w:vAlign w:val="top"/>
            <w:tcMar>
              <w:top w:w="60" w:type="dxa"/>
              <w:start w:w="70" w:type="dxa"/>
              <w:bottom w:w="60" w:type="dxa"/>
              <w:end w:w="70" w:type="dxa"/>
            </w:tcMar>
          </w:tcPr>
          <w:p>
            <w:pPr>
              <w:pStyle w:val="TableText"/>
              <w:jc w:val="left"/>
            </w:pPr>
            <w:r/>
            <w:r>
              <w:rPr>
                <w:rFonts w:ascii="Times New Roman" w:hAnsi="Times New Roman" w:eastAsia="Times New Roman"/>
                <w:sz w:val="16"/>
              </w:rPr>
              <w:t>Час відгуку, пропускна здатність, обсяг даних, навантаження, ресурсні обмеження.</w:t>
            </w:r>
          </w:p>
        </w:tc>
        <w:tc>
          <w:tcPr>
            <w:tcW w:type="dxa" w:w="2494"/>
            <w:vAlign w:val="top"/>
            <w:tcMar>
              <w:top w:w="60" w:type="dxa"/>
              <w:start w:w="70" w:type="dxa"/>
              <w:bottom w:w="60" w:type="dxa"/>
              <w:end w:w="70" w:type="dxa"/>
            </w:tcMar>
          </w:tcPr>
          <w:p>
            <w:pPr>
              <w:pStyle w:val="TableText"/>
              <w:jc w:val="left"/>
            </w:pPr>
            <w:r/>
            <w:r>
              <w:rPr>
                <w:rFonts w:ascii="Times New Roman" w:hAnsi="Times New Roman" w:eastAsia="Times New Roman"/>
                <w:sz w:val="16"/>
              </w:rPr>
              <w:t>Частка вимог із числовими порогами, умовами навантаження та одиницями вимірювання.</w:t>
            </w:r>
          </w:p>
        </w:tc>
        <w:tc>
          <w:tcPr>
            <w:tcW w:type="dxa" w:w="2665"/>
            <w:vAlign w:val="top"/>
            <w:tcMar>
              <w:top w:w="60" w:type="dxa"/>
              <w:start w:w="70" w:type="dxa"/>
              <w:bottom w:w="60" w:type="dxa"/>
              <w:end w:w="70" w:type="dxa"/>
            </w:tcMar>
          </w:tcPr>
          <w:p>
            <w:pPr>
              <w:pStyle w:val="TableText"/>
              <w:jc w:val="left"/>
            </w:pPr>
            <w:r/>
            <w:r>
              <w:rPr>
                <w:rFonts w:ascii="Times New Roman" w:hAnsi="Times New Roman" w:eastAsia="Times New Roman"/>
                <w:sz w:val="16"/>
              </w:rPr>
              <w:t>Часові показники, пропускна здатність, використання ресурсів.</w:t>
            </w:r>
          </w:p>
        </w:tc>
      </w:tr>
      <w:tr>
        <w:trPr>
          <w:cantSplit/>
        </w:trPr>
        <w:tc>
          <w:tcPr>
            <w:tcW w:type="dxa" w:w="1701"/>
            <w:vAlign w:val="top"/>
            <w:tcMar>
              <w:top w:w="60" w:type="dxa"/>
              <w:start w:w="70" w:type="dxa"/>
              <w:bottom w:w="60" w:type="dxa"/>
              <w:end w:w="70" w:type="dxa"/>
            </w:tcMar>
          </w:tcPr>
          <w:p>
            <w:pPr>
              <w:pStyle w:val="TableText"/>
              <w:jc w:val="left"/>
            </w:pPr>
            <w:r/>
            <w:r>
              <w:rPr>
                <w:rFonts w:ascii="Times New Roman" w:hAnsi="Times New Roman" w:eastAsia="Times New Roman"/>
                <w:sz w:val="16"/>
              </w:rPr>
              <w:t>Сумісність</w:t>
            </w:r>
          </w:p>
        </w:tc>
        <w:tc>
          <w:tcPr>
            <w:tcW w:type="dxa" w:w="2835"/>
            <w:vAlign w:val="top"/>
            <w:tcMar>
              <w:top w:w="60" w:type="dxa"/>
              <w:start w:w="70" w:type="dxa"/>
              <w:bottom w:w="60" w:type="dxa"/>
              <w:end w:w="70" w:type="dxa"/>
            </w:tcMar>
          </w:tcPr>
          <w:p>
            <w:pPr>
              <w:pStyle w:val="TableText"/>
              <w:jc w:val="left"/>
            </w:pPr>
            <w:r/>
            <w:r>
              <w:rPr>
                <w:rFonts w:ascii="Times New Roman" w:hAnsi="Times New Roman" w:eastAsia="Times New Roman"/>
                <w:sz w:val="16"/>
              </w:rPr>
              <w:t>Інтерфейси, протоколи, формати даних, умови співіснування та інтеграції.</w:t>
            </w:r>
          </w:p>
        </w:tc>
        <w:tc>
          <w:tcPr>
            <w:tcW w:type="dxa" w:w="2494"/>
            <w:vAlign w:val="top"/>
            <w:tcMar>
              <w:top w:w="60" w:type="dxa"/>
              <w:start w:w="70" w:type="dxa"/>
              <w:bottom w:w="60" w:type="dxa"/>
              <w:end w:w="70" w:type="dxa"/>
            </w:tcMar>
          </w:tcPr>
          <w:p>
            <w:pPr>
              <w:pStyle w:val="TableText"/>
              <w:jc w:val="left"/>
            </w:pPr>
            <w:r/>
            <w:r>
              <w:rPr>
                <w:rFonts w:ascii="Times New Roman" w:hAnsi="Times New Roman" w:eastAsia="Times New Roman"/>
                <w:sz w:val="16"/>
              </w:rPr>
              <w:t>Повнота опису зовнішніх інтерфейсів; трасованість до інтеграційних сценаріїв.</w:t>
            </w:r>
          </w:p>
        </w:tc>
        <w:tc>
          <w:tcPr>
            <w:tcW w:type="dxa" w:w="2665"/>
            <w:vAlign w:val="top"/>
            <w:tcMar>
              <w:top w:w="60" w:type="dxa"/>
              <w:start w:w="70" w:type="dxa"/>
              <w:bottom w:w="60" w:type="dxa"/>
              <w:end w:w="70" w:type="dxa"/>
            </w:tcMar>
          </w:tcPr>
          <w:p>
            <w:pPr>
              <w:pStyle w:val="TableText"/>
              <w:jc w:val="left"/>
            </w:pPr>
            <w:r/>
            <w:r>
              <w:rPr>
                <w:rFonts w:ascii="Times New Roman" w:hAnsi="Times New Roman" w:eastAsia="Times New Roman"/>
                <w:sz w:val="16"/>
              </w:rPr>
              <w:t>Фактична інтероперабельність і відсутність неприйнятного взаємного впливу.</w:t>
            </w:r>
          </w:p>
        </w:tc>
      </w:tr>
      <w:tr>
        <w:trPr>
          <w:cantSplit/>
        </w:trPr>
        <w:tc>
          <w:tcPr>
            <w:tcW w:type="dxa" w:w="1701"/>
            <w:vAlign w:val="top"/>
            <w:tcMar>
              <w:top w:w="60" w:type="dxa"/>
              <w:start w:w="70" w:type="dxa"/>
              <w:bottom w:w="60" w:type="dxa"/>
              <w:end w:w="70" w:type="dxa"/>
            </w:tcMar>
          </w:tcPr>
          <w:p>
            <w:pPr>
              <w:pStyle w:val="TableText"/>
              <w:jc w:val="left"/>
            </w:pPr>
            <w:r/>
            <w:r>
              <w:rPr>
                <w:rFonts w:ascii="Times New Roman" w:hAnsi="Times New Roman" w:eastAsia="Times New Roman"/>
                <w:sz w:val="16"/>
              </w:rPr>
              <w:t>Здатність до взаємодії</w:t>
            </w:r>
          </w:p>
        </w:tc>
        <w:tc>
          <w:tcPr>
            <w:tcW w:type="dxa" w:w="2835"/>
            <w:vAlign w:val="top"/>
            <w:tcMar>
              <w:top w:w="60" w:type="dxa"/>
              <w:start w:w="70" w:type="dxa"/>
              <w:bottom w:w="60" w:type="dxa"/>
              <w:end w:w="70" w:type="dxa"/>
            </w:tcMar>
          </w:tcPr>
          <w:p>
            <w:pPr>
              <w:pStyle w:val="TableText"/>
              <w:jc w:val="left"/>
            </w:pPr>
            <w:r/>
            <w:r>
              <w:rPr>
                <w:rFonts w:ascii="Times New Roman" w:hAnsi="Times New Roman" w:eastAsia="Times New Roman"/>
                <w:sz w:val="16"/>
              </w:rPr>
              <w:t>Користувацькі задачі, доступність, правила взаємодії, обмеження інтерфейсу, контекст використання.</w:t>
            </w:r>
          </w:p>
        </w:tc>
        <w:tc>
          <w:tcPr>
            <w:tcW w:type="dxa" w:w="2494"/>
            <w:vAlign w:val="top"/>
            <w:tcMar>
              <w:top w:w="60" w:type="dxa"/>
              <w:start w:w="70" w:type="dxa"/>
              <w:bottom w:w="60" w:type="dxa"/>
              <w:end w:w="70" w:type="dxa"/>
            </w:tcMar>
          </w:tcPr>
          <w:p>
            <w:pPr>
              <w:pStyle w:val="TableText"/>
              <w:jc w:val="left"/>
            </w:pPr>
            <w:r/>
            <w:r>
              <w:rPr>
                <w:rFonts w:ascii="Times New Roman" w:hAnsi="Times New Roman" w:eastAsia="Times New Roman"/>
                <w:sz w:val="16"/>
              </w:rPr>
              <w:t>Покриття ключових ролей і сценаріїв; вимірюваність критеріїв доступності та керованості.</w:t>
            </w:r>
          </w:p>
        </w:tc>
        <w:tc>
          <w:tcPr>
            <w:tcW w:type="dxa" w:w="2665"/>
            <w:vAlign w:val="top"/>
            <w:tcMar>
              <w:top w:w="60" w:type="dxa"/>
              <w:start w:w="70" w:type="dxa"/>
              <w:bottom w:w="60" w:type="dxa"/>
              <w:end w:w="70" w:type="dxa"/>
            </w:tcMar>
          </w:tcPr>
          <w:p>
            <w:pPr>
              <w:pStyle w:val="TableText"/>
              <w:jc w:val="left"/>
            </w:pPr>
            <w:r/>
            <w:r>
              <w:rPr>
                <w:rFonts w:ascii="Times New Roman" w:hAnsi="Times New Roman" w:eastAsia="Times New Roman"/>
                <w:sz w:val="16"/>
              </w:rPr>
              <w:t>Результати usability/accessibility тестування, успішність виконання задач.</w:t>
            </w:r>
          </w:p>
        </w:tc>
      </w:tr>
      <w:tr>
        <w:trPr>
          <w:cantSplit/>
        </w:trPr>
        <w:tc>
          <w:tcPr>
            <w:tcW w:type="dxa" w:w="1701"/>
            <w:vAlign w:val="top"/>
            <w:tcMar>
              <w:top w:w="60" w:type="dxa"/>
              <w:start w:w="70" w:type="dxa"/>
              <w:bottom w:w="60" w:type="dxa"/>
              <w:end w:w="70" w:type="dxa"/>
            </w:tcMar>
          </w:tcPr>
          <w:p>
            <w:pPr>
              <w:pStyle w:val="TableText"/>
              <w:jc w:val="left"/>
            </w:pPr>
            <w:r/>
            <w:r>
              <w:rPr>
                <w:rFonts w:ascii="Times New Roman" w:hAnsi="Times New Roman" w:eastAsia="Times New Roman"/>
                <w:sz w:val="16"/>
              </w:rPr>
              <w:t>Надійність</w:t>
            </w:r>
          </w:p>
        </w:tc>
        <w:tc>
          <w:tcPr>
            <w:tcW w:type="dxa" w:w="2835"/>
            <w:vAlign w:val="top"/>
            <w:tcMar>
              <w:top w:w="60" w:type="dxa"/>
              <w:start w:w="70" w:type="dxa"/>
              <w:bottom w:w="60" w:type="dxa"/>
              <w:end w:w="70" w:type="dxa"/>
            </w:tcMar>
          </w:tcPr>
          <w:p>
            <w:pPr>
              <w:pStyle w:val="TableText"/>
              <w:jc w:val="left"/>
            </w:pPr>
            <w:r/>
            <w:r>
              <w:rPr>
                <w:rFonts w:ascii="Times New Roman" w:hAnsi="Times New Roman" w:eastAsia="Times New Roman"/>
                <w:sz w:val="16"/>
              </w:rPr>
              <w:t>Допустимі відмови, доступність, умови відновлення, резервування, реакція на помилки.</w:t>
            </w:r>
          </w:p>
        </w:tc>
        <w:tc>
          <w:tcPr>
            <w:tcW w:type="dxa" w:w="2494"/>
            <w:vAlign w:val="top"/>
            <w:tcMar>
              <w:top w:w="60" w:type="dxa"/>
              <w:start w:w="70" w:type="dxa"/>
              <w:bottom w:w="60" w:type="dxa"/>
              <w:end w:w="70" w:type="dxa"/>
            </w:tcMar>
          </w:tcPr>
          <w:p>
            <w:pPr>
              <w:pStyle w:val="TableText"/>
              <w:jc w:val="left"/>
            </w:pPr>
            <w:r/>
            <w:r>
              <w:rPr>
                <w:rFonts w:ascii="Times New Roman" w:hAnsi="Times New Roman" w:eastAsia="Times New Roman"/>
                <w:sz w:val="16"/>
              </w:rPr>
              <w:t>Наявність визначених умов відмови, цільових значень доступності та часу відновлення.</w:t>
            </w:r>
          </w:p>
        </w:tc>
        <w:tc>
          <w:tcPr>
            <w:tcW w:type="dxa" w:w="2665"/>
            <w:vAlign w:val="top"/>
            <w:tcMar>
              <w:top w:w="60" w:type="dxa"/>
              <w:start w:w="70" w:type="dxa"/>
              <w:bottom w:w="60" w:type="dxa"/>
              <w:end w:w="70" w:type="dxa"/>
            </w:tcMar>
          </w:tcPr>
          <w:p>
            <w:pPr>
              <w:pStyle w:val="TableText"/>
              <w:jc w:val="left"/>
            </w:pPr>
            <w:r/>
            <w:r>
              <w:rPr>
                <w:rFonts w:ascii="Times New Roman" w:hAnsi="Times New Roman" w:eastAsia="Times New Roman"/>
                <w:sz w:val="16"/>
              </w:rPr>
              <w:t>Частота відмов, доступність, відновлюваність, результати fault-injection/навантажувальних перевірок.</w:t>
            </w:r>
          </w:p>
        </w:tc>
      </w:tr>
      <w:tr>
        <w:trPr>
          <w:cantSplit/>
        </w:trPr>
        <w:tc>
          <w:tcPr>
            <w:tcW w:type="dxa" w:w="1701"/>
            <w:vAlign w:val="top"/>
            <w:tcMar>
              <w:top w:w="60" w:type="dxa"/>
              <w:start w:w="70" w:type="dxa"/>
              <w:bottom w:w="60" w:type="dxa"/>
              <w:end w:w="70" w:type="dxa"/>
            </w:tcMar>
          </w:tcPr>
          <w:p>
            <w:pPr>
              <w:pStyle w:val="TableText"/>
              <w:jc w:val="left"/>
            </w:pPr>
            <w:r/>
            <w:r>
              <w:rPr>
                <w:rFonts w:ascii="Times New Roman" w:hAnsi="Times New Roman" w:eastAsia="Times New Roman"/>
                <w:sz w:val="16"/>
              </w:rPr>
              <w:t>Безпека</w:t>
            </w:r>
          </w:p>
        </w:tc>
        <w:tc>
          <w:tcPr>
            <w:tcW w:type="dxa" w:w="2835"/>
            <w:vAlign w:val="top"/>
            <w:tcMar>
              <w:top w:w="60" w:type="dxa"/>
              <w:start w:w="70" w:type="dxa"/>
              <w:bottom w:w="60" w:type="dxa"/>
              <w:end w:w="70" w:type="dxa"/>
            </w:tcMar>
          </w:tcPr>
          <w:p>
            <w:pPr>
              <w:pStyle w:val="TableText"/>
              <w:jc w:val="left"/>
            </w:pPr>
            <w:r/>
            <w:r>
              <w:rPr>
                <w:rFonts w:ascii="Times New Roman" w:hAnsi="Times New Roman" w:eastAsia="Times New Roman"/>
                <w:sz w:val="16"/>
              </w:rPr>
              <w:t>Правила доступу, конфіденційність, цілісність, автентифікація, аудит, моделі загроз.</w:t>
            </w:r>
          </w:p>
        </w:tc>
        <w:tc>
          <w:tcPr>
            <w:tcW w:type="dxa" w:w="2494"/>
            <w:vAlign w:val="top"/>
            <w:tcMar>
              <w:top w:w="60" w:type="dxa"/>
              <w:start w:w="70" w:type="dxa"/>
              <w:bottom w:w="60" w:type="dxa"/>
              <w:end w:w="70" w:type="dxa"/>
            </w:tcMar>
          </w:tcPr>
          <w:p>
            <w:pPr>
              <w:pStyle w:val="TableText"/>
              <w:jc w:val="left"/>
            </w:pPr>
            <w:r/>
            <w:r>
              <w:rPr>
                <w:rFonts w:ascii="Times New Roman" w:hAnsi="Times New Roman" w:eastAsia="Times New Roman"/>
                <w:sz w:val="16"/>
              </w:rPr>
              <w:t>Покриття активів і ролей; перевірюваність правил доступу; трасованість до загроз і контролів.</w:t>
            </w:r>
          </w:p>
        </w:tc>
        <w:tc>
          <w:tcPr>
            <w:tcW w:type="dxa" w:w="2665"/>
            <w:vAlign w:val="top"/>
            <w:tcMar>
              <w:top w:w="60" w:type="dxa"/>
              <w:start w:w="70" w:type="dxa"/>
              <w:bottom w:w="60" w:type="dxa"/>
              <w:end w:w="70" w:type="dxa"/>
            </w:tcMar>
          </w:tcPr>
          <w:p>
            <w:pPr>
              <w:pStyle w:val="TableText"/>
              <w:jc w:val="left"/>
            </w:pPr>
            <w:r/>
            <w:r>
              <w:rPr>
                <w:rFonts w:ascii="Times New Roman" w:hAnsi="Times New Roman" w:eastAsia="Times New Roman"/>
                <w:sz w:val="16"/>
              </w:rPr>
              <w:t>Виконання політик, результати security testing, кількість і критичність вразливостей.</w:t>
            </w:r>
          </w:p>
        </w:tc>
      </w:tr>
      <w:tr>
        <w:trPr>
          <w:cantSplit/>
        </w:trPr>
        <w:tc>
          <w:tcPr>
            <w:tcW w:type="dxa" w:w="1701"/>
            <w:vAlign w:val="top"/>
            <w:tcMar>
              <w:top w:w="60" w:type="dxa"/>
              <w:start w:w="70" w:type="dxa"/>
              <w:bottom w:w="60" w:type="dxa"/>
              <w:end w:w="70" w:type="dxa"/>
            </w:tcMar>
          </w:tcPr>
          <w:p>
            <w:pPr>
              <w:pStyle w:val="TableText"/>
              <w:jc w:val="left"/>
            </w:pPr>
            <w:r/>
            <w:r>
              <w:rPr>
                <w:rFonts w:ascii="Times New Roman" w:hAnsi="Times New Roman" w:eastAsia="Times New Roman"/>
                <w:sz w:val="16"/>
              </w:rPr>
              <w:t>Супроводжуваність</w:t>
            </w:r>
          </w:p>
        </w:tc>
        <w:tc>
          <w:tcPr>
            <w:tcW w:type="dxa" w:w="2835"/>
            <w:vAlign w:val="top"/>
            <w:tcMar>
              <w:top w:w="60" w:type="dxa"/>
              <w:start w:w="70" w:type="dxa"/>
              <w:bottom w:w="60" w:type="dxa"/>
              <w:end w:w="70" w:type="dxa"/>
            </w:tcMar>
          </w:tcPr>
          <w:p>
            <w:pPr>
              <w:pStyle w:val="TableText"/>
              <w:jc w:val="left"/>
            </w:pPr>
            <w:r/>
            <w:r>
              <w:rPr>
                <w:rFonts w:ascii="Times New Roman" w:hAnsi="Times New Roman" w:eastAsia="Times New Roman"/>
                <w:sz w:val="16"/>
              </w:rPr>
              <w:t>Вимоги до модульності, аналізованості, модифікації, тестованості змін, технічні обмеження.</w:t>
            </w:r>
          </w:p>
        </w:tc>
        <w:tc>
          <w:tcPr>
            <w:tcW w:type="dxa" w:w="2494"/>
            <w:vAlign w:val="top"/>
            <w:tcMar>
              <w:top w:w="60" w:type="dxa"/>
              <w:start w:w="70" w:type="dxa"/>
              <w:bottom w:w="60" w:type="dxa"/>
              <w:end w:w="70" w:type="dxa"/>
            </w:tcMar>
          </w:tcPr>
          <w:p>
            <w:pPr>
              <w:pStyle w:val="TableText"/>
              <w:jc w:val="left"/>
            </w:pPr>
            <w:r/>
            <w:r>
              <w:rPr>
                <w:rFonts w:ascii="Times New Roman" w:hAnsi="Times New Roman" w:eastAsia="Times New Roman"/>
                <w:sz w:val="16"/>
              </w:rPr>
              <w:t>Наявність архітектурно значущих вимог; простежуваність до компонентів і засобів перевірки.</w:t>
            </w:r>
          </w:p>
        </w:tc>
        <w:tc>
          <w:tcPr>
            <w:tcW w:type="dxa" w:w="2665"/>
            <w:vAlign w:val="top"/>
            <w:tcMar>
              <w:top w:w="60" w:type="dxa"/>
              <w:start w:w="70" w:type="dxa"/>
              <w:bottom w:w="60" w:type="dxa"/>
              <w:end w:w="70" w:type="dxa"/>
            </w:tcMar>
          </w:tcPr>
          <w:p>
            <w:pPr>
              <w:pStyle w:val="TableText"/>
              <w:jc w:val="left"/>
            </w:pPr>
            <w:r/>
            <w:r>
              <w:rPr>
                <w:rFonts w:ascii="Times New Roman" w:hAnsi="Times New Roman" w:eastAsia="Times New Roman"/>
                <w:sz w:val="16"/>
              </w:rPr>
              <w:t>Структурні метрики, трудомісткість змін, локальність впливу, повторна перевірюваність.</w:t>
            </w:r>
          </w:p>
        </w:tc>
      </w:tr>
      <w:tr>
        <w:trPr>
          <w:cantSplit/>
        </w:trPr>
        <w:tc>
          <w:tcPr>
            <w:tcW w:type="dxa" w:w="1701"/>
            <w:vAlign w:val="top"/>
            <w:tcMar>
              <w:top w:w="60" w:type="dxa"/>
              <w:start w:w="70" w:type="dxa"/>
              <w:bottom w:w="60" w:type="dxa"/>
              <w:end w:w="70" w:type="dxa"/>
            </w:tcMar>
          </w:tcPr>
          <w:p>
            <w:pPr>
              <w:pStyle w:val="TableText"/>
              <w:jc w:val="left"/>
            </w:pPr>
            <w:r/>
            <w:r>
              <w:rPr>
                <w:rFonts w:ascii="Times New Roman" w:hAnsi="Times New Roman" w:eastAsia="Times New Roman"/>
                <w:sz w:val="16"/>
              </w:rPr>
              <w:t>Гнучкість</w:t>
            </w:r>
          </w:p>
        </w:tc>
        <w:tc>
          <w:tcPr>
            <w:tcW w:type="dxa" w:w="2835"/>
            <w:vAlign w:val="top"/>
            <w:tcMar>
              <w:top w:w="60" w:type="dxa"/>
              <w:start w:w="70" w:type="dxa"/>
              <w:bottom w:w="60" w:type="dxa"/>
              <w:end w:w="70" w:type="dxa"/>
            </w:tcMar>
          </w:tcPr>
          <w:p>
            <w:pPr>
              <w:pStyle w:val="TableText"/>
              <w:jc w:val="left"/>
            </w:pPr>
            <w:r/>
            <w:r>
              <w:rPr>
                <w:rFonts w:ascii="Times New Roman" w:hAnsi="Times New Roman" w:eastAsia="Times New Roman"/>
                <w:sz w:val="16"/>
              </w:rPr>
              <w:t>Адаптація до платформ/конфігурацій, масштабування, змінність параметрів, умови розгортання.</w:t>
            </w:r>
          </w:p>
        </w:tc>
        <w:tc>
          <w:tcPr>
            <w:tcW w:type="dxa" w:w="2494"/>
            <w:vAlign w:val="top"/>
            <w:tcMar>
              <w:top w:w="60" w:type="dxa"/>
              <w:start w:w="70" w:type="dxa"/>
              <w:bottom w:w="60" w:type="dxa"/>
              <w:end w:w="70" w:type="dxa"/>
            </w:tcMar>
          </w:tcPr>
          <w:p>
            <w:pPr>
              <w:pStyle w:val="TableText"/>
              <w:jc w:val="left"/>
            </w:pPr>
            <w:r/>
            <w:r>
              <w:rPr>
                <w:rFonts w:ascii="Times New Roman" w:hAnsi="Times New Roman" w:eastAsia="Times New Roman"/>
                <w:sz w:val="16"/>
              </w:rPr>
              <w:t>Повнота варіантів середовища; формалізація меж масштабування й конфігурацій.</w:t>
            </w:r>
          </w:p>
        </w:tc>
        <w:tc>
          <w:tcPr>
            <w:tcW w:type="dxa" w:w="2665"/>
            <w:vAlign w:val="top"/>
            <w:tcMar>
              <w:top w:w="60" w:type="dxa"/>
              <w:start w:w="70" w:type="dxa"/>
              <w:bottom w:w="60" w:type="dxa"/>
              <w:end w:w="70" w:type="dxa"/>
            </w:tcMar>
          </w:tcPr>
          <w:p>
            <w:pPr>
              <w:pStyle w:val="TableText"/>
              <w:jc w:val="left"/>
            </w:pPr>
            <w:r/>
            <w:r>
              <w:rPr>
                <w:rFonts w:ascii="Times New Roman" w:hAnsi="Times New Roman" w:eastAsia="Times New Roman"/>
                <w:sz w:val="16"/>
              </w:rPr>
              <w:t>Результати перенесення, конфігурації, масштабування та адаптації продукту.</w:t>
            </w:r>
          </w:p>
        </w:tc>
      </w:tr>
      <w:tr>
        <w:trPr>
          <w:cantSplit/>
        </w:trPr>
        <w:tc>
          <w:tcPr>
            <w:tcW w:type="dxa" w:w="1701"/>
            <w:vAlign w:val="top"/>
            <w:tcMar>
              <w:top w:w="60" w:type="dxa"/>
              <w:start w:w="70" w:type="dxa"/>
              <w:bottom w:w="60" w:type="dxa"/>
              <w:end w:w="70" w:type="dxa"/>
            </w:tcMar>
          </w:tcPr>
          <w:p>
            <w:pPr>
              <w:pStyle w:val="TableText"/>
              <w:jc w:val="left"/>
            </w:pPr>
            <w:r/>
            <w:r>
              <w:rPr>
                <w:rFonts w:ascii="Times New Roman" w:hAnsi="Times New Roman" w:eastAsia="Times New Roman"/>
                <w:sz w:val="16"/>
              </w:rPr>
              <w:t>Безпечність експлуатації</w:t>
            </w:r>
          </w:p>
        </w:tc>
        <w:tc>
          <w:tcPr>
            <w:tcW w:type="dxa" w:w="2835"/>
            <w:vAlign w:val="top"/>
            <w:tcMar>
              <w:top w:w="60" w:type="dxa"/>
              <w:start w:w="70" w:type="dxa"/>
              <w:bottom w:w="60" w:type="dxa"/>
              <w:end w:w="70" w:type="dxa"/>
            </w:tcMar>
          </w:tcPr>
          <w:p>
            <w:pPr>
              <w:pStyle w:val="TableText"/>
              <w:jc w:val="left"/>
            </w:pPr>
            <w:r/>
            <w:r>
              <w:rPr>
                <w:rFonts w:ascii="Times New Roman" w:hAnsi="Times New Roman" w:eastAsia="Times New Roman"/>
                <w:sz w:val="16"/>
              </w:rPr>
              <w:t>Небезпеки, допустимий ризик, захисні обмеження, безпечні стани та реакції на критичні ситуації.</w:t>
            </w:r>
          </w:p>
        </w:tc>
        <w:tc>
          <w:tcPr>
            <w:tcW w:type="dxa" w:w="2494"/>
            <w:vAlign w:val="top"/>
            <w:tcMar>
              <w:top w:w="60" w:type="dxa"/>
              <w:start w:w="70" w:type="dxa"/>
              <w:bottom w:w="60" w:type="dxa"/>
              <w:end w:w="70" w:type="dxa"/>
            </w:tcMar>
          </w:tcPr>
          <w:p>
            <w:pPr>
              <w:pStyle w:val="TableText"/>
              <w:jc w:val="left"/>
            </w:pPr>
            <w:r/>
            <w:r>
              <w:rPr>
                <w:rFonts w:ascii="Times New Roman" w:hAnsi="Times New Roman" w:eastAsia="Times New Roman"/>
                <w:sz w:val="16"/>
              </w:rPr>
              <w:t>Трасованість небезпека → вимога → захисний захід; визначені критерії безпечного стану.</w:t>
            </w:r>
          </w:p>
        </w:tc>
        <w:tc>
          <w:tcPr>
            <w:tcW w:type="dxa" w:w="2665"/>
            <w:vAlign w:val="top"/>
            <w:tcMar>
              <w:top w:w="60" w:type="dxa"/>
              <w:start w:w="70" w:type="dxa"/>
              <w:bottom w:w="60" w:type="dxa"/>
              <w:end w:w="70" w:type="dxa"/>
            </w:tcMar>
          </w:tcPr>
          <w:p>
            <w:pPr>
              <w:pStyle w:val="TableText"/>
              <w:jc w:val="left"/>
            </w:pPr>
            <w:r/>
            <w:r>
              <w:rPr>
                <w:rFonts w:ascii="Times New Roman" w:hAnsi="Times New Roman" w:eastAsia="Times New Roman"/>
                <w:sz w:val="16"/>
              </w:rPr>
              <w:t>Результати hazard/safety verification, виконання захисних механізмів, залишковий ризик.</w:t>
            </w:r>
          </w:p>
        </w:tc>
      </w:tr>
    </w:tbl>
    <w:p>
      <w:pPr>
        <w:spacing w:after="0"/>
      </w:pPr>
    </w:p>
    <w:p>
      <w:pPr>
        <w:jc w:val="both"/>
      </w:pPr>
      <w:r>
        <w:t>Зіставлення в таблиці 2.4 показує, що рання оцінка не повинна намагатися замінити вимірювання готового продукту. Її функція інша: оцінити, наскільки достатньою, конкретною і перевірюваною є інформаційна база для досягнення певної характеристики якості. Наприклад, відсутність кількісної вимоги до часу відгуку не доводить, що майбутня система буде повільною, але означає, що до реалізації не визначено об’єктивної цілі, відносно якої можна проєктувати, тестувати й приймати рішення.</w:t>
      </w:r>
    </w:p>
    <w:p>
      <w:pPr>
        <w:jc w:val="both"/>
      </w:pPr>
      <w:r>
        <w:t>Для формалізації взаємозв’язку введемо матрицю семантичної належності G = [gᵢⱼ], де gᵢⱼ = 1, якщо вимога rᵢ містить інформацію, суттєву для характеристики qⱼ, та gᵢⱼ = 0 в іншому випадку. Одна вимога може стосуватися декількох характеристик одночасно, тому таке відображення є багатомітковим. Наприклад, вимога щодо шифрування резервних копій може одночасно бути пов’язана з безпекою, надійністю та умовами відновлення.</w:t>
      </w:r>
    </w:p>
    <w:p>
      <w:pPr>
        <w:pStyle w:val="Eq"/>
      </w:pPr>
      <w:r>
        <w:t>G = [gᵢⱼ],   gᵢⱼ ∈ {0, 1}.</w:t>
      </w:r>
    </w:p>
    <w:p>
      <w:pPr>
        <w:jc w:val="both"/>
      </w:pPr>
      <w:r>
        <w:t>Для кожної характеристики qⱼ визначимо підмножину вимог Rⱼ, що містять релевантну до неї інформацію:</w:t>
      </w:r>
    </w:p>
    <w:p>
      <w:pPr>
        <w:pStyle w:val="Eq"/>
      </w:pPr>
      <w:r>
        <w:t>Rⱼ = { rᵢ ∈ R | gᵢⱼ = 1 }.</w:t>
      </w:r>
    </w:p>
    <w:p>
      <w:pPr>
        <w:jc w:val="both"/>
      </w:pPr>
      <w:r>
        <w:t>Таке представлення дозволяє уникнути методологічної проблеми глобального усереднення. Якщо, наприклад, 90 % усіх вимог добре перевірювані, але саме вимоги до безпеки сформульовані нечітко й не мають критеріїв приймання, загальний показник перевірюваності специфікації приховає критичний локальний ризик. Тому властивості вимог доцільно агрегувати не лише для всієї специфікації, а й окремо для підмножин Rⱼ, пов’язаних із конкретними характеристиками якості.</w:t>
      </w:r>
    </w:p>
    <w:p>
      <w:pPr>
        <w:jc w:val="both"/>
      </w:pPr>
      <w:r>
        <w:t>Нехай aᵢₖ ∈ [0;1] — введена в 2.1 оцінка властивості pₖ для вимоги rᵢ. Тоді для характеристики qⱼ можна визначити локальний індикатор дотримання властивості pₖ:</w:t>
      </w:r>
    </w:p>
    <w:p>
      <w:pPr>
        <w:pStyle w:val="Eq"/>
      </w:pPr>
      <w:r>
        <w:t>xₖⱼ = (Σᵢ aᵢₖ · gᵢⱼ) / (Σᵢ gᵢⱼ),   якщо Σᵢ gᵢⱼ &gt; 0.</w:t>
      </w:r>
    </w:p>
    <w:p>
      <w:pPr>
        <w:jc w:val="both"/>
      </w:pPr>
      <w:r>
        <w:t>Величина xₖⱼ не є оцінкою характеристики qⱼ готового продукту. Вона лише показує, наскільки добре певна властивість вимог дотримана у тій частині специфікації, яка стосується qⱼ. Сукупність таких показників утворює локальний опис вимог для конкретної характеристики якості:</w:t>
      </w:r>
    </w:p>
    <w:p>
      <w:pPr>
        <w:pStyle w:val="Eq"/>
      </w:pPr>
      <w:r>
        <w:t>Xⱼᴿ = (x₁ⱼ, x₂ⱼ, …, xₘⱼ).</w:t>
      </w:r>
    </w:p>
    <w:p>
      <w:pPr>
        <w:jc w:val="both"/>
      </w:pPr>
      <w:r>
        <w:t>Порівняно із загальним вектором Xᴿ із підрозділу 2.1, вектор Xⱼᴿ зберігає семантичний контекст і тому є більш придатним для подальшого аналізу зв’язку з конкретною характеристикою продукту. На наступному етапі для реалізованих проєктів цьому вектору може бути зіставлено фактичний показник yⱼ якості, отриманий шляхом вимірювання продукту. ISO/IEC 25020:2019 задає рамку побудови та використання мір, а ISO/IEC 25023:2016 — набір мір якості програмного продукту в межах SQuaRE [7, 9].</w:t>
      </w:r>
    </w:p>
    <w:p>
      <w:pPr>
        <w:jc w:val="both"/>
      </w:pPr>
      <w:r>
        <w:t>У цьому місці необхідно розрізнити три механізми зв’язку між вимогами та якістю продукту. Вони мають різну інтерпретацію та не повинні змішуватися в одному коефіцієнті без емпіричного обґрунтування.</w:t>
      </w:r>
    </w:p>
    <w:p>
      <w:pPr>
        <w:ind w:firstLine="0"/>
        <w:jc w:val="left"/>
        <w:keepNext/>
      </w:pPr>
      <w:r>
        <w:t>Таблиця 2.5 – Механізми зв’язку вимог із характеристиками якості програмного продукту</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701"/>
            <w:shd w:fill="D9EAF7"/>
            <w:vAlign w:val="center"/>
            <w:tcMar>
              <w:top w:w="60" w:type="dxa"/>
              <w:start w:w="70" w:type="dxa"/>
              <w:bottom w:w="60" w:type="dxa"/>
              <w:end w:w="70" w:type="dxa"/>
            </w:tcMar>
          </w:tcPr>
          <w:p>
            <w:pPr>
              <w:pStyle w:val="TableText"/>
              <w:jc w:val="center"/>
            </w:pPr>
            <w:r/>
            <w:r>
              <w:rPr>
                <w:rFonts w:ascii="Times New Roman" w:hAnsi="Times New Roman" w:eastAsia="Times New Roman"/>
                <w:b/>
                <w:sz w:val="16"/>
              </w:rPr>
              <w:t>Тип</w:t>
            </w:r>
          </w:p>
        </w:tc>
        <w:tc>
          <w:tcPr>
            <w:tcW w:type="dxa" w:w="3118"/>
            <w:shd w:fill="D9EAF7"/>
            <w:vAlign w:val="center"/>
            <w:tcMar>
              <w:top w:w="60" w:type="dxa"/>
              <w:start w:w="70" w:type="dxa"/>
              <w:bottom w:w="60" w:type="dxa"/>
              <w:end w:w="70" w:type="dxa"/>
            </w:tcMar>
          </w:tcPr>
          <w:p>
            <w:pPr>
              <w:pStyle w:val="TableText"/>
              <w:jc w:val="center"/>
            </w:pPr>
            <w:r/>
            <w:r>
              <w:rPr>
                <w:rFonts w:ascii="Times New Roman" w:hAnsi="Times New Roman" w:eastAsia="Times New Roman"/>
                <w:b/>
                <w:sz w:val="16"/>
              </w:rPr>
              <w:t>Механізм</w:t>
            </w:r>
          </w:p>
        </w:tc>
        <w:tc>
          <w:tcPr>
            <w:tcW w:type="dxa" w:w="2721"/>
            <w:shd w:fill="D9EAF7"/>
            <w:vAlign w:val="center"/>
            <w:tcMar>
              <w:top w:w="60" w:type="dxa"/>
              <w:start w:w="70" w:type="dxa"/>
              <w:bottom w:w="60" w:type="dxa"/>
              <w:end w:w="70" w:type="dxa"/>
            </w:tcMar>
          </w:tcPr>
          <w:p>
            <w:pPr>
              <w:pStyle w:val="TableText"/>
              <w:jc w:val="center"/>
            </w:pPr>
            <w:r/>
            <w:r>
              <w:rPr>
                <w:rFonts w:ascii="Times New Roman" w:hAnsi="Times New Roman" w:eastAsia="Times New Roman"/>
                <w:b/>
                <w:sz w:val="16"/>
              </w:rPr>
              <w:t>Приклад</w:t>
            </w:r>
          </w:p>
        </w:tc>
        <w:tc>
          <w:tcPr>
            <w:tcW w:type="dxa" w:w="2721"/>
            <w:shd w:fill="D9EAF7"/>
            <w:vAlign w:val="center"/>
            <w:tcMar>
              <w:top w:w="60" w:type="dxa"/>
              <w:start w:w="70" w:type="dxa"/>
              <w:bottom w:w="60" w:type="dxa"/>
              <w:end w:w="70" w:type="dxa"/>
            </w:tcMar>
          </w:tcPr>
          <w:p>
            <w:pPr>
              <w:pStyle w:val="TableText"/>
              <w:jc w:val="center"/>
            </w:pPr>
            <w:r/>
            <w:r>
              <w:rPr>
                <w:rFonts w:ascii="Times New Roman" w:hAnsi="Times New Roman" w:eastAsia="Times New Roman"/>
                <w:b/>
                <w:sz w:val="16"/>
              </w:rPr>
              <w:t>Ключове обмеження</w:t>
            </w:r>
          </w:p>
        </w:tc>
      </w:tr>
      <w:tr>
        <w:trPr>
          <w:cantSplit/>
        </w:trPr>
        <w:tc>
          <w:tcPr>
            <w:tcW w:type="dxa" w:w="1701"/>
            <w:vAlign w:val="top"/>
            <w:tcMar>
              <w:top w:w="60" w:type="dxa"/>
              <w:start w:w="70" w:type="dxa"/>
              <w:bottom w:w="60" w:type="dxa"/>
              <w:end w:w="70" w:type="dxa"/>
            </w:tcMar>
          </w:tcPr>
          <w:p>
            <w:pPr>
              <w:pStyle w:val="TableText"/>
              <w:jc w:val="left"/>
            </w:pPr>
            <w:r/>
            <w:r>
              <w:rPr>
                <w:rFonts w:ascii="Times New Roman" w:hAnsi="Times New Roman" w:eastAsia="Times New Roman"/>
                <w:sz w:val="16"/>
              </w:rPr>
              <w:t>Семантичний (S)</w:t>
            </w:r>
          </w:p>
        </w:tc>
        <w:tc>
          <w:tcPr>
            <w:tcW w:type="dxa" w:w="3118"/>
            <w:vAlign w:val="top"/>
            <w:tcMar>
              <w:top w:w="60" w:type="dxa"/>
              <w:start w:w="70" w:type="dxa"/>
              <w:bottom w:w="60" w:type="dxa"/>
              <w:end w:w="70" w:type="dxa"/>
            </w:tcMar>
          </w:tcPr>
          <w:p>
            <w:pPr>
              <w:pStyle w:val="TableText"/>
              <w:jc w:val="left"/>
            </w:pPr>
            <w:r/>
            <w:r>
              <w:rPr>
                <w:rFonts w:ascii="Times New Roman" w:hAnsi="Times New Roman" w:eastAsia="Times New Roman"/>
                <w:sz w:val="16"/>
              </w:rPr>
              <w:t>Зміст вимоги безпосередньо задає ціль, обмеження або поведінку, що належить до певної характеристики якості.</w:t>
            </w:r>
          </w:p>
        </w:tc>
        <w:tc>
          <w:tcPr>
            <w:tcW w:type="dxa" w:w="2721"/>
            <w:vAlign w:val="top"/>
            <w:tcMar>
              <w:top w:w="60" w:type="dxa"/>
              <w:start w:w="70" w:type="dxa"/>
              <w:bottom w:w="60" w:type="dxa"/>
              <w:end w:w="70" w:type="dxa"/>
            </w:tcMar>
          </w:tcPr>
          <w:p>
            <w:pPr>
              <w:pStyle w:val="TableText"/>
              <w:jc w:val="left"/>
            </w:pPr>
            <w:r/>
            <w:r>
              <w:rPr>
                <w:rFonts w:ascii="Times New Roman" w:hAnsi="Times New Roman" w:eastAsia="Times New Roman"/>
                <w:sz w:val="16"/>
              </w:rPr>
              <w:t>«Час відгуку ≤ 2 с при 500 одночасних користувачах» → продуктивність.</w:t>
            </w:r>
          </w:p>
        </w:tc>
        <w:tc>
          <w:tcPr>
            <w:tcW w:type="dxa" w:w="2721"/>
            <w:vAlign w:val="top"/>
            <w:tcMar>
              <w:top w:w="60" w:type="dxa"/>
              <w:start w:w="70" w:type="dxa"/>
              <w:bottom w:w="60" w:type="dxa"/>
              <w:end w:w="70" w:type="dxa"/>
            </w:tcMar>
          </w:tcPr>
          <w:p>
            <w:pPr>
              <w:pStyle w:val="TableText"/>
              <w:jc w:val="left"/>
            </w:pPr>
            <w:r/>
            <w:r>
              <w:rPr>
                <w:rFonts w:ascii="Times New Roman" w:hAnsi="Times New Roman" w:eastAsia="Times New Roman"/>
                <w:sz w:val="16"/>
              </w:rPr>
              <w:t>Можна встановити до реалізації, але виконання вимоги підтверджується лише після вимірювання продукту.</w:t>
            </w:r>
          </w:p>
        </w:tc>
      </w:tr>
      <w:tr>
        <w:trPr>
          <w:cantSplit/>
        </w:trPr>
        <w:tc>
          <w:tcPr>
            <w:tcW w:type="dxa" w:w="1701"/>
            <w:vAlign w:val="top"/>
            <w:tcMar>
              <w:top w:w="60" w:type="dxa"/>
              <w:start w:w="70" w:type="dxa"/>
              <w:bottom w:w="60" w:type="dxa"/>
              <w:end w:w="70" w:type="dxa"/>
            </w:tcMar>
          </w:tcPr>
          <w:p>
            <w:pPr>
              <w:pStyle w:val="TableText"/>
              <w:jc w:val="left"/>
            </w:pPr>
            <w:r/>
            <w:r>
              <w:rPr>
                <w:rFonts w:ascii="Times New Roman" w:hAnsi="Times New Roman" w:eastAsia="Times New Roman"/>
                <w:sz w:val="16"/>
              </w:rPr>
              <w:t>Ризиково-опосередкований (R)</w:t>
            </w:r>
          </w:p>
        </w:tc>
        <w:tc>
          <w:tcPr>
            <w:tcW w:type="dxa" w:w="3118"/>
            <w:vAlign w:val="top"/>
            <w:tcMar>
              <w:top w:w="60" w:type="dxa"/>
              <w:start w:w="70" w:type="dxa"/>
              <w:bottom w:w="60" w:type="dxa"/>
              <w:end w:w="70" w:type="dxa"/>
            </w:tcMar>
          </w:tcPr>
          <w:p>
            <w:pPr>
              <w:pStyle w:val="TableText"/>
              <w:jc w:val="left"/>
            </w:pPr>
            <w:r/>
            <w:r>
              <w:rPr>
                <w:rFonts w:ascii="Times New Roman" w:hAnsi="Times New Roman" w:eastAsia="Times New Roman"/>
                <w:sz w:val="16"/>
              </w:rPr>
              <w:t>Дефект вимоги підвищує ризик неправильної реалізації, пропуску або конфлікту, який може проявитися в одній чи декількох характеристиках.</w:t>
            </w:r>
          </w:p>
        </w:tc>
        <w:tc>
          <w:tcPr>
            <w:tcW w:type="dxa" w:w="2721"/>
            <w:vAlign w:val="top"/>
            <w:tcMar>
              <w:top w:w="60" w:type="dxa"/>
              <w:start w:w="70" w:type="dxa"/>
              <w:bottom w:w="60" w:type="dxa"/>
              <w:end w:w="70" w:type="dxa"/>
            </w:tcMar>
          </w:tcPr>
          <w:p>
            <w:pPr>
              <w:pStyle w:val="TableText"/>
              <w:jc w:val="left"/>
            </w:pPr>
            <w:r/>
            <w:r>
              <w:rPr>
                <w:rFonts w:ascii="Times New Roman" w:hAnsi="Times New Roman" w:eastAsia="Times New Roman"/>
                <w:sz w:val="16"/>
              </w:rPr>
              <w:t>Неоднозначне правило відновлення → різне трактування логіки → ризик зниження надійності.</w:t>
            </w:r>
          </w:p>
        </w:tc>
        <w:tc>
          <w:tcPr>
            <w:tcW w:type="dxa" w:w="2721"/>
            <w:vAlign w:val="top"/>
            <w:tcMar>
              <w:top w:w="60" w:type="dxa"/>
              <w:start w:w="70" w:type="dxa"/>
              <w:bottom w:w="60" w:type="dxa"/>
              <w:end w:w="70" w:type="dxa"/>
            </w:tcMar>
          </w:tcPr>
          <w:p>
            <w:pPr>
              <w:pStyle w:val="TableText"/>
              <w:jc w:val="left"/>
            </w:pPr>
            <w:r/>
            <w:r>
              <w:rPr>
                <w:rFonts w:ascii="Times New Roman" w:hAnsi="Times New Roman" w:eastAsia="Times New Roman"/>
                <w:sz w:val="16"/>
              </w:rPr>
              <w:t>Напрям і сила впливу залежать від контексту; причинність не можна вважати доведеною без даних.</w:t>
            </w:r>
          </w:p>
        </w:tc>
      </w:tr>
      <w:tr>
        <w:trPr>
          <w:cantSplit/>
        </w:trPr>
        <w:tc>
          <w:tcPr>
            <w:tcW w:type="dxa" w:w="1701"/>
            <w:vAlign w:val="top"/>
            <w:tcMar>
              <w:top w:w="60" w:type="dxa"/>
              <w:start w:w="70" w:type="dxa"/>
              <w:bottom w:w="60" w:type="dxa"/>
              <w:end w:w="70" w:type="dxa"/>
            </w:tcMar>
          </w:tcPr>
          <w:p>
            <w:pPr>
              <w:pStyle w:val="TableText"/>
              <w:jc w:val="left"/>
            </w:pPr>
            <w:r/>
            <w:r>
              <w:rPr>
                <w:rFonts w:ascii="Times New Roman" w:hAnsi="Times New Roman" w:eastAsia="Times New Roman"/>
                <w:sz w:val="16"/>
              </w:rPr>
              <w:t>Верифікаційний/трасувальний (V)</w:t>
            </w:r>
          </w:p>
        </w:tc>
        <w:tc>
          <w:tcPr>
            <w:tcW w:type="dxa" w:w="3118"/>
            <w:vAlign w:val="top"/>
            <w:tcMar>
              <w:top w:w="60" w:type="dxa"/>
              <w:start w:w="70" w:type="dxa"/>
              <w:bottom w:w="60" w:type="dxa"/>
              <w:end w:w="70" w:type="dxa"/>
            </w:tcMar>
          </w:tcPr>
          <w:p>
            <w:pPr>
              <w:pStyle w:val="TableText"/>
              <w:jc w:val="left"/>
            </w:pPr>
            <w:r/>
            <w:r>
              <w:rPr>
                <w:rFonts w:ascii="Times New Roman" w:hAnsi="Times New Roman" w:eastAsia="Times New Roman"/>
                <w:sz w:val="16"/>
              </w:rPr>
              <w:t>Структура вимог і зв’язків визначає можливість перевірити покриття, зміни та відповідність реалізації заявленим цілям.</w:t>
            </w:r>
          </w:p>
        </w:tc>
        <w:tc>
          <w:tcPr>
            <w:tcW w:type="dxa" w:w="2721"/>
            <w:vAlign w:val="top"/>
            <w:tcMar>
              <w:top w:w="60" w:type="dxa"/>
              <w:start w:w="70" w:type="dxa"/>
              <w:bottom w:w="60" w:type="dxa"/>
              <w:end w:w="70" w:type="dxa"/>
            </w:tcMar>
          </w:tcPr>
          <w:p>
            <w:pPr>
              <w:pStyle w:val="TableText"/>
              <w:jc w:val="left"/>
            </w:pPr>
            <w:r/>
            <w:r>
              <w:rPr>
                <w:rFonts w:ascii="Times New Roman" w:hAnsi="Times New Roman" w:eastAsia="Times New Roman"/>
                <w:sz w:val="16"/>
              </w:rPr>
              <w:t>Вимога без тесту або без зв’язку з компонентом ускладнює підтвердження її виконання.</w:t>
            </w:r>
          </w:p>
        </w:tc>
        <w:tc>
          <w:tcPr>
            <w:tcW w:type="dxa" w:w="2721"/>
            <w:vAlign w:val="top"/>
            <w:tcMar>
              <w:top w:w="60" w:type="dxa"/>
              <w:start w:w="70" w:type="dxa"/>
              <w:bottom w:w="60" w:type="dxa"/>
              <w:end w:w="70" w:type="dxa"/>
            </w:tcMar>
          </w:tcPr>
          <w:p>
            <w:pPr>
              <w:pStyle w:val="TableText"/>
              <w:jc w:val="left"/>
            </w:pPr>
            <w:r/>
            <w:r>
              <w:rPr>
                <w:rFonts w:ascii="Times New Roman" w:hAnsi="Times New Roman" w:eastAsia="Times New Roman"/>
                <w:sz w:val="16"/>
              </w:rPr>
              <w:t>Покращує керованість доказами якості, але сама наявність trace link не гарантує коректності продукту.</w:t>
            </w:r>
          </w:p>
        </w:tc>
      </w:tr>
    </w:tbl>
    <w:p>
      <w:pPr>
        <w:spacing w:after="0"/>
      </w:pPr>
    </w:p>
    <w:p>
      <w:pPr>
        <w:jc w:val="both"/>
      </w:pPr>
      <w:r>
        <w:t>Семантичний механізм є найбільш прямим. ISO/IEC 25030:2019 розглядає вимоги до якості як основу для визначення потрібного рівня властивостей системи або програмного продукту [10]. Якщо вимога містить числовий поріг, умови та спосіб перевірки, вона створює спостережувану ціль. Тому для семантичного зв’язку ключовими стають не лише наявність вимоги, а її конкретність, вимірюваність і повнота умов застосування.</w:t>
      </w:r>
    </w:p>
    <w:p>
      <w:pPr>
        <w:jc w:val="both"/>
      </w:pPr>
      <w:r>
        <w:t>Ризиково-опосередкований механізм є складнішим. Неповна, суперечлива або неоднозначна вимога не визначає наперед конкретний дефект коду, але створює простір для різної інтерпретації, помилкових рішень і неповного тестового покриття. Емпіричні дослідження показують, що значущість конкретних дефектів специфікації залежить від контексту та способу використання документа [32]. Саме тому у цій роботі такі властивості трактуються як фактори ризику, а не як прямі числові еквіваленти якості програмного продукту.</w:t>
      </w:r>
    </w:p>
    <w:p>
      <w:pPr>
        <w:jc w:val="both"/>
      </w:pPr>
      <w:r>
        <w:t>Верифікаційно-трасувальний механізм має найбільш переконливу емпіричну підтримку серед структурних характеристик вимог. У дослідженні 24 середніх і великих open-source проєктів Ремпель і Мадер виявили статистично значущий зв’язок між повнотою трасованості для низки видів діяльності та нижчою очікуваною дефектністю реалізованого ПЗ [33]. В іншій роботі тих самих авторів складність графа залежностей і декомпозиції вимог на п’яти промислових agile-проєктах корелювала з помилковістю коду, що реалізував відповідні вимоги [34]. Ці результати не доводять універсальність будь-якої трасувальної метрики, але підтверджують принципову можливість використовувати структурні ознаки вимог як ранні предиктори ризику.</w:t>
      </w:r>
    </w:p>
    <w:p>
      <w:pPr>
        <w:jc w:val="both"/>
      </w:pPr>
      <w:r>
        <w:t>На основі описаних механізмів можна сформувати аналітичну карту потенційного впливу дефектів вимог. Її призначення — не присвоїти незмінні ваги, а визначити, які зв’язки мають бути перевірені експериментально. Особливо важливо, що одна й та сама властивість може впливати на різні характеристики через різні механізми. Наприклад, перевірюваність вимог до продуктивності має семантично-верифікаційний характер, тоді як загальна неоднозначність специфікації створює ширший ризик для функціональної придатності, надійності й супроводжуваності.</w:t>
      </w:r>
    </w:p>
    <w:p>
      <w:pPr>
        <w:ind w:firstLine="0"/>
        <w:jc w:val="left"/>
        <w:keepNext/>
      </w:pPr>
      <w:r>
        <w:t>Таблиця 2.6 – Аналітичне зіставлення властивостей вимог із механізмами впливу на якість програмного продукту</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701"/>
            <w:shd w:fill="D9EAF7"/>
            <w:vAlign w:val="center"/>
            <w:tcMar>
              <w:top w:w="60" w:type="dxa"/>
              <w:start w:w="70" w:type="dxa"/>
              <w:bottom w:w="60" w:type="dxa"/>
              <w:end w:w="70" w:type="dxa"/>
            </w:tcMar>
          </w:tcPr>
          <w:p>
            <w:pPr>
              <w:pStyle w:val="TableText"/>
              <w:jc w:val="center"/>
            </w:pPr>
            <w:r/>
            <w:r>
              <w:rPr>
                <w:rFonts w:ascii="Times New Roman" w:hAnsi="Times New Roman" w:eastAsia="Times New Roman"/>
                <w:b/>
                <w:sz w:val="16"/>
              </w:rPr>
              <w:t>Властивість вимог</w:t>
            </w:r>
          </w:p>
        </w:tc>
        <w:tc>
          <w:tcPr>
            <w:tcW w:type="dxa" w:w="3685"/>
            <w:shd w:fill="D9EAF7"/>
            <w:vAlign w:val="center"/>
            <w:tcMar>
              <w:top w:w="60" w:type="dxa"/>
              <w:start w:w="70" w:type="dxa"/>
              <w:bottom w:w="60" w:type="dxa"/>
              <w:end w:w="70" w:type="dxa"/>
            </w:tcMar>
          </w:tcPr>
          <w:p>
            <w:pPr>
              <w:pStyle w:val="TableText"/>
              <w:jc w:val="center"/>
            </w:pPr>
            <w:r/>
            <w:r>
              <w:rPr>
                <w:rFonts w:ascii="Times New Roman" w:hAnsi="Times New Roman" w:eastAsia="Times New Roman"/>
                <w:b/>
                <w:sz w:val="16"/>
              </w:rPr>
              <w:t>Механізм потенційного впливу</w:t>
            </w:r>
          </w:p>
        </w:tc>
        <w:tc>
          <w:tcPr>
            <w:tcW w:type="dxa" w:w="3118"/>
            <w:shd w:fill="D9EAF7"/>
            <w:vAlign w:val="center"/>
            <w:tcMar>
              <w:top w:w="60" w:type="dxa"/>
              <w:start w:w="70" w:type="dxa"/>
              <w:bottom w:w="60" w:type="dxa"/>
              <w:end w:w="70" w:type="dxa"/>
            </w:tcMar>
          </w:tcPr>
          <w:p>
            <w:pPr>
              <w:pStyle w:val="TableText"/>
              <w:jc w:val="center"/>
            </w:pPr>
            <w:r/>
            <w:r>
              <w:rPr>
                <w:rFonts w:ascii="Times New Roman" w:hAnsi="Times New Roman" w:eastAsia="Times New Roman"/>
                <w:b/>
                <w:sz w:val="16"/>
              </w:rPr>
              <w:t>Характеристики, де ефект може проявитися</w:t>
            </w:r>
          </w:p>
        </w:tc>
        <w:tc>
          <w:tcPr>
            <w:tcW w:type="dxa" w:w="1474"/>
            <w:shd w:fill="D9EAF7"/>
            <w:vAlign w:val="center"/>
            <w:tcMar>
              <w:top w:w="60" w:type="dxa"/>
              <w:start w:w="70" w:type="dxa"/>
              <w:bottom w:w="60" w:type="dxa"/>
              <w:end w:w="70" w:type="dxa"/>
            </w:tcMar>
          </w:tcPr>
          <w:p>
            <w:pPr>
              <w:pStyle w:val="TableText"/>
              <w:jc w:val="center"/>
            </w:pPr>
            <w:r/>
            <w:r>
              <w:rPr>
                <w:rFonts w:ascii="Times New Roman" w:hAnsi="Times New Roman" w:eastAsia="Times New Roman"/>
                <w:b/>
                <w:sz w:val="16"/>
              </w:rPr>
              <w:t>Тип зв’язку</w:t>
            </w:r>
          </w:p>
        </w:tc>
      </w:tr>
      <w:tr>
        <w:trPr>
          <w:cantSplit/>
        </w:trPr>
        <w:tc>
          <w:tcPr>
            <w:tcW w:type="dxa" w:w="1701"/>
            <w:vAlign w:val="top"/>
            <w:tcMar>
              <w:top w:w="60" w:type="dxa"/>
              <w:start w:w="70" w:type="dxa"/>
              <w:bottom w:w="60" w:type="dxa"/>
              <w:end w:w="70" w:type="dxa"/>
            </w:tcMar>
          </w:tcPr>
          <w:p>
            <w:pPr>
              <w:pStyle w:val="TableText"/>
              <w:jc w:val="left"/>
            </w:pPr>
            <w:r/>
            <w:r>
              <w:rPr>
                <w:rFonts w:ascii="Times New Roman" w:hAnsi="Times New Roman" w:eastAsia="Times New Roman"/>
                <w:sz w:val="16"/>
              </w:rPr>
              <w:t>Повнота</w:t>
            </w:r>
          </w:p>
        </w:tc>
        <w:tc>
          <w:tcPr>
            <w:tcW w:type="dxa" w:w="3685"/>
            <w:vAlign w:val="top"/>
            <w:tcMar>
              <w:top w:w="60" w:type="dxa"/>
              <w:start w:w="70" w:type="dxa"/>
              <w:bottom w:w="60" w:type="dxa"/>
              <w:end w:w="70" w:type="dxa"/>
            </w:tcMar>
          </w:tcPr>
          <w:p>
            <w:pPr>
              <w:pStyle w:val="TableText"/>
              <w:jc w:val="left"/>
            </w:pPr>
            <w:r/>
            <w:r>
              <w:rPr>
                <w:rFonts w:ascii="Times New Roman" w:hAnsi="Times New Roman" w:eastAsia="Times New Roman"/>
                <w:sz w:val="16"/>
              </w:rPr>
              <w:t>Пропущена функція, сценарій або вимога до якості не потрапляє до проєктування і перевірки.</w:t>
            </w:r>
          </w:p>
        </w:tc>
        <w:tc>
          <w:tcPr>
            <w:tcW w:type="dxa" w:w="3118"/>
            <w:vAlign w:val="top"/>
            <w:tcMar>
              <w:top w:w="60" w:type="dxa"/>
              <w:start w:w="70" w:type="dxa"/>
              <w:bottom w:w="60" w:type="dxa"/>
              <w:end w:w="70" w:type="dxa"/>
            </w:tcMar>
          </w:tcPr>
          <w:p>
            <w:pPr>
              <w:pStyle w:val="TableText"/>
              <w:jc w:val="left"/>
            </w:pPr>
            <w:r/>
            <w:r>
              <w:rPr>
                <w:rFonts w:ascii="Times New Roman" w:hAnsi="Times New Roman" w:eastAsia="Times New Roman"/>
                <w:sz w:val="16"/>
              </w:rPr>
              <w:t>Функціональна придатність; будь-яка характеристика, для якої відсутня необхідна quality requirement.</w:t>
            </w:r>
          </w:p>
        </w:tc>
        <w:tc>
          <w:tcPr>
            <w:tcW w:type="dxa" w:w="1474"/>
            <w:vAlign w:val="top"/>
            <w:tcMar>
              <w:top w:w="60" w:type="dxa"/>
              <w:start w:w="70" w:type="dxa"/>
              <w:bottom w:w="60" w:type="dxa"/>
              <w:end w:w="70" w:type="dxa"/>
            </w:tcMar>
          </w:tcPr>
          <w:p>
            <w:pPr>
              <w:pStyle w:val="TableText"/>
              <w:jc w:val="left"/>
            </w:pPr>
            <w:r/>
            <w:r>
              <w:rPr>
                <w:rFonts w:ascii="Times New Roman" w:hAnsi="Times New Roman" w:eastAsia="Times New Roman"/>
                <w:sz w:val="16"/>
              </w:rPr>
              <w:t>R / S</w:t>
            </w:r>
          </w:p>
        </w:tc>
      </w:tr>
      <w:tr>
        <w:trPr>
          <w:cantSplit/>
        </w:trPr>
        <w:tc>
          <w:tcPr>
            <w:tcW w:type="dxa" w:w="1701"/>
            <w:vAlign w:val="top"/>
            <w:tcMar>
              <w:top w:w="60" w:type="dxa"/>
              <w:start w:w="70" w:type="dxa"/>
              <w:bottom w:w="60" w:type="dxa"/>
              <w:end w:w="70" w:type="dxa"/>
            </w:tcMar>
          </w:tcPr>
          <w:p>
            <w:pPr>
              <w:pStyle w:val="TableText"/>
              <w:jc w:val="left"/>
            </w:pPr>
            <w:r/>
            <w:r>
              <w:rPr>
                <w:rFonts w:ascii="Times New Roman" w:hAnsi="Times New Roman" w:eastAsia="Times New Roman"/>
                <w:sz w:val="16"/>
              </w:rPr>
              <w:t>Коректність</w:t>
            </w:r>
          </w:p>
        </w:tc>
        <w:tc>
          <w:tcPr>
            <w:tcW w:type="dxa" w:w="3685"/>
            <w:vAlign w:val="top"/>
            <w:tcMar>
              <w:top w:w="60" w:type="dxa"/>
              <w:start w:w="70" w:type="dxa"/>
              <w:bottom w:w="60" w:type="dxa"/>
              <w:end w:w="70" w:type="dxa"/>
            </w:tcMar>
          </w:tcPr>
          <w:p>
            <w:pPr>
              <w:pStyle w:val="TableText"/>
              <w:jc w:val="left"/>
            </w:pPr>
            <w:r/>
            <w:r>
              <w:rPr>
                <w:rFonts w:ascii="Times New Roman" w:hAnsi="Times New Roman" w:eastAsia="Times New Roman"/>
                <w:sz w:val="16"/>
              </w:rPr>
              <w:t>Специфікація задає неправильну ціль або правило, тому формально коректна реалізація може не відповідати фактичній потребі.</w:t>
            </w:r>
          </w:p>
        </w:tc>
        <w:tc>
          <w:tcPr>
            <w:tcW w:type="dxa" w:w="3118"/>
            <w:vAlign w:val="top"/>
            <w:tcMar>
              <w:top w:w="60" w:type="dxa"/>
              <w:start w:w="70" w:type="dxa"/>
              <w:bottom w:w="60" w:type="dxa"/>
              <w:end w:w="70" w:type="dxa"/>
            </w:tcMar>
          </w:tcPr>
          <w:p>
            <w:pPr>
              <w:pStyle w:val="TableText"/>
              <w:jc w:val="left"/>
            </w:pPr>
            <w:r/>
            <w:r>
              <w:rPr>
                <w:rFonts w:ascii="Times New Roman" w:hAnsi="Times New Roman" w:eastAsia="Times New Roman"/>
                <w:sz w:val="16"/>
              </w:rPr>
              <w:t>Передусім функціональна придатність; залежно від змісту — безпека, надійність, safety та інші.</w:t>
            </w:r>
          </w:p>
        </w:tc>
        <w:tc>
          <w:tcPr>
            <w:tcW w:type="dxa" w:w="1474"/>
            <w:vAlign w:val="top"/>
            <w:tcMar>
              <w:top w:w="60" w:type="dxa"/>
              <w:start w:w="70" w:type="dxa"/>
              <w:bottom w:w="60" w:type="dxa"/>
              <w:end w:w="70" w:type="dxa"/>
            </w:tcMar>
          </w:tcPr>
          <w:p>
            <w:pPr>
              <w:pStyle w:val="TableText"/>
              <w:jc w:val="left"/>
            </w:pPr>
            <w:r/>
            <w:r>
              <w:rPr>
                <w:rFonts w:ascii="Times New Roman" w:hAnsi="Times New Roman" w:eastAsia="Times New Roman"/>
                <w:sz w:val="16"/>
              </w:rPr>
              <w:t>R / S</w:t>
            </w:r>
          </w:p>
        </w:tc>
      </w:tr>
      <w:tr>
        <w:trPr>
          <w:cantSplit/>
        </w:trPr>
        <w:tc>
          <w:tcPr>
            <w:tcW w:type="dxa" w:w="1701"/>
            <w:vAlign w:val="top"/>
            <w:tcMar>
              <w:top w:w="60" w:type="dxa"/>
              <w:start w:w="70" w:type="dxa"/>
              <w:bottom w:w="60" w:type="dxa"/>
              <w:end w:w="70" w:type="dxa"/>
            </w:tcMar>
          </w:tcPr>
          <w:p>
            <w:pPr>
              <w:pStyle w:val="TableText"/>
              <w:jc w:val="left"/>
            </w:pPr>
            <w:r/>
            <w:r>
              <w:rPr>
                <w:rFonts w:ascii="Times New Roman" w:hAnsi="Times New Roman" w:eastAsia="Times New Roman"/>
                <w:sz w:val="16"/>
              </w:rPr>
              <w:t>Однозначність</w:t>
            </w:r>
          </w:p>
        </w:tc>
        <w:tc>
          <w:tcPr>
            <w:tcW w:type="dxa" w:w="3685"/>
            <w:vAlign w:val="top"/>
            <w:tcMar>
              <w:top w:w="60" w:type="dxa"/>
              <w:start w:w="70" w:type="dxa"/>
              <w:bottom w:w="60" w:type="dxa"/>
              <w:end w:w="70" w:type="dxa"/>
            </w:tcMar>
          </w:tcPr>
          <w:p>
            <w:pPr>
              <w:pStyle w:val="TableText"/>
              <w:jc w:val="left"/>
            </w:pPr>
            <w:r/>
            <w:r>
              <w:rPr>
                <w:rFonts w:ascii="Times New Roman" w:hAnsi="Times New Roman" w:eastAsia="Times New Roman"/>
                <w:sz w:val="16"/>
              </w:rPr>
              <w:t>Різні учасники можуть реалізувати або перевіряти різні трактування одного твердження.</w:t>
            </w:r>
          </w:p>
        </w:tc>
        <w:tc>
          <w:tcPr>
            <w:tcW w:type="dxa" w:w="3118"/>
            <w:vAlign w:val="top"/>
            <w:tcMar>
              <w:top w:w="60" w:type="dxa"/>
              <w:start w:w="70" w:type="dxa"/>
              <w:bottom w:w="60" w:type="dxa"/>
              <w:end w:w="70" w:type="dxa"/>
            </w:tcMar>
          </w:tcPr>
          <w:p>
            <w:pPr>
              <w:pStyle w:val="TableText"/>
              <w:jc w:val="left"/>
            </w:pPr>
            <w:r/>
            <w:r>
              <w:rPr>
                <w:rFonts w:ascii="Times New Roman" w:hAnsi="Times New Roman" w:eastAsia="Times New Roman"/>
                <w:sz w:val="16"/>
              </w:rPr>
              <w:t>Функціональна придатність; надійність; взаємодія; супроводжуваність; інші залежно від вимоги.</w:t>
            </w:r>
          </w:p>
        </w:tc>
        <w:tc>
          <w:tcPr>
            <w:tcW w:type="dxa" w:w="1474"/>
            <w:vAlign w:val="top"/>
            <w:tcMar>
              <w:top w:w="60" w:type="dxa"/>
              <w:start w:w="70" w:type="dxa"/>
              <w:bottom w:w="60" w:type="dxa"/>
              <w:end w:w="70" w:type="dxa"/>
            </w:tcMar>
          </w:tcPr>
          <w:p>
            <w:pPr>
              <w:pStyle w:val="TableText"/>
              <w:jc w:val="left"/>
            </w:pPr>
            <w:r/>
            <w:r>
              <w:rPr>
                <w:rFonts w:ascii="Times New Roman" w:hAnsi="Times New Roman" w:eastAsia="Times New Roman"/>
                <w:sz w:val="16"/>
              </w:rPr>
              <w:t>R</w:t>
            </w:r>
          </w:p>
        </w:tc>
      </w:tr>
      <w:tr>
        <w:trPr>
          <w:cantSplit/>
        </w:trPr>
        <w:tc>
          <w:tcPr>
            <w:tcW w:type="dxa" w:w="1701"/>
            <w:vAlign w:val="top"/>
            <w:tcMar>
              <w:top w:w="60" w:type="dxa"/>
              <w:start w:w="70" w:type="dxa"/>
              <w:bottom w:w="60" w:type="dxa"/>
              <w:end w:w="70" w:type="dxa"/>
            </w:tcMar>
          </w:tcPr>
          <w:p>
            <w:pPr>
              <w:pStyle w:val="TableText"/>
              <w:jc w:val="left"/>
            </w:pPr>
            <w:r/>
            <w:r>
              <w:rPr>
                <w:rFonts w:ascii="Times New Roman" w:hAnsi="Times New Roman" w:eastAsia="Times New Roman"/>
                <w:sz w:val="16"/>
              </w:rPr>
              <w:t>Несуперечливість</w:t>
            </w:r>
          </w:p>
        </w:tc>
        <w:tc>
          <w:tcPr>
            <w:tcW w:type="dxa" w:w="3685"/>
            <w:vAlign w:val="top"/>
            <w:tcMar>
              <w:top w:w="60" w:type="dxa"/>
              <w:start w:w="70" w:type="dxa"/>
              <w:bottom w:w="60" w:type="dxa"/>
              <w:end w:w="70" w:type="dxa"/>
            </w:tcMar>
          </w:tcPr>
          <w:p>
            <w:pPr>
              <w:pStyle w:val="TableText"/>
              <w:jc w:val="left"/>
            </w:pPr>
            <w:r/>
            <w:r>
              <w:rPr>
                <w:rFonts w:ascii="Times New Roman" w:hAnsi="Times New Roman" w:eastAsia="Times New Roman"/>
                <w:sz w:val="16"/>
              </w:rPr>
              <w:t>Несумісні цілі або обмеження породжують компроміси, не зафіксовані у специфікації.</w:t>
            </w:r>
          </w:p>
        </w:tc>
        <w:tc>
          <w:tcPr>
            <w:tcW w:type="dxa" w:w="3118"/>
            <w:vAlign w:val="top"/>
            <w:tcMar>
              <w:top w:w="60" w:type="dxa"/>
              <w:start w:w="70" w:type="dxa"/>
              <w:bottom w:w="60" w:type="dxa"/>
              <w:end w:w="70" w:type="dxa"/>
            </w:tcMar>
          </w:tcPr>
          <w:p>
            <w:pPr>
              <w:pStyle w:val="TableText"/>
              <w:jc w:val="left"/>
            </w:pPr>
            <w:r/>
            <w:r>
              <w:rPr>
                <w:rFonts w:ascii="Times New Roman" w:hAnsi="Times New Roman" w:eastAsia="Times New Roman"/>
                <w:sz w:val="16"/>
              </w:rPr>
              <w:t>Продуктивність ↔ безпека; надійність ↔ ресурсні обмеження; сумісність; інші trade-off залежності.</w:t>
            </w:r>
          </w:p>
        </w:tc>
        <w:tc>
          <w:tcPr>
            <w:tcW w:type="dxa" w:w="1474"/>
            <w:vAlign w:val="top"/>
            <w:tcMar>
              <w:top w:w="60" w:type="dxa"/>
              <w:start w:w="70" w:type="dxa"/>
              <w:bottom w:w="60" w:type="dxa"/>
              <w:end w:w="70" w:type="dxa"/>
            </w:tcMar>
          </w:tcPr>
          <w:p>
            <w:pPr>
              <w:pStyle w:val="TableText"/>
              <w:jc w:val="left"/>
            </w:pPr>
            <w:r/>
            <w:r>
              <w:rPr>
                <w:rFonts w:ascii="Times New Roman" w:hAnsi="Times New Roman" w:eastAsia="Times New Roman"/>
                <w:sz w:val="16"/>
              </w:rPr>
              <w:t>R / S</w:t>
            </w:r>
          </w:p>
        </w:tc>
      </w:tr>
      <w:tr>
        <w:trPr>
          <w:cantSplit/>
        </w:trPr>
        <w:tc>
          <w:tcPr>
            <w:tcW w:type="dxa" w:w="1701"/>
            <w:vAlign w:val="top"/>
            <w:tcMar>
              <w:top w:w="60" w:type="dxa"/>
              <w:start w:w="70" w:type="dxa"/>
              <w:bottom w:w="60" w:type="dxa"/>
              <w:end w:w="70" w:type="dxa"/>
            </w:tcMar>
          </w:tcPr>
          <w:p>
            <w:pPr>
              <w:pStyle w:val="TableText"/>
              <w:jc w:val="left"/>
            </w:pPr>
            <w:r/>
            <w:r>
              <w:rPr>
                <w:rFonts w:ascii="Times New Roman" w:hAnsi="Times New Roman" w:eastAsia="Times New Roman"/>
                <w:sz w:val="16"/>
              </w:rPr>
              <w:t>Перевірюваність</w:t>
            </w:r>
          </w:p>
        </w:tc>
        <w:tc>
          <w:tcPr>
            <w:tcW w:type="dxa" w:w="3685"/>
            <w:vAlign w:val="top"/>
            <w:tcMar>
              <w:top w:w="60" w:type="dxa"/>
              <w:start w:w="70" w:type="dxa"/>
              <w:bottom w:w="60" w:type="dxa"/>
              <w:end w:w="70" w:type="dxa"/>
            </w:tcMar>
          </w:tcPr>
          <w:p>
            <w:pPr>
              <w:pStyle w:val="TableText"/>
              <w:jc w:val="left"/>
            </w:pPr>
            <w:r/>
            <w:r>
              <w:rPr>
                <w:rFonts w:ascii="Times New Roman" w:hAnsi="Times New Roman" w:eastAsia="Times New Roman"/>
                <w:sz w:val="16"/>
              </w:rPr>
              <w:t>Відсутність спостережуваного критерію не дозволяє однозначно підтвердити досягнення вимоги.</w:t>
            </w:r>
          </w:p>
        </w:tc>
        <w:tc>
          <w:tcPr>
            <w:tcW w:type="dxa" w:w="3118"/>
            <w:vAlign w:val="top"/>
            <w:tcMar>
              <w:top w:w="60" w:type="dxa"/>
              <w:start w:w="70" w:type="dxa"/>
              <w:bottom w:w="60" w:type="dxa"/>
              <w:end w:w="70" w:type="dxa"/>
            </w:tcMar>
          </w:tcPr>
          <w:p>
            <w:pPr>
              <w:pStyle w:val="TableText"/>
              <w:jc w:val="left"/>
            </w:pPr>
            <w:r/>
            <w:r>
              <w:rPr>
                <w:rFonts w:ascii="Times New Roman" w:hAnsi="Times New Roman" w:eastAsia="Times New Roman"/>
                <w:sz w:val="16"/>
              </w:rPr>
              <w:t>Усі характеристики, для яких встановлюються критерії якості; особливо продуктивність, надійність, безпека, safety.</w:t>
            </w:r>
          </w:p>
        </w:tc>
        <w:tc>
          <w:tcPr>
            <w:tcW w:type="dxa" w:w="1474"/>
            <w:vAlign w:val="top"/>
            <w:tcMar>
              <w:top w:w="60" w:type="dxa"/>
              <w:start w:w="70" w:type="dxa"/>
              <w:bottom w:w="60" w:type="dxa"/>
              <w:end w:w="70" w:type="dxa"/>
            </w:tcMar>
          </w:tcPr>
          <w:p>
            <w:pPr>
              <w:pStyle w:val="TableText"/>
              <w:jc w:val="left"/>
            </w:pPr>
            <w:r/>
            <w:r>
              <w:rPr>
                <w:rFonts w:ascii="Times New Roman" w:hAnsi="Times New Roman" w:eastAsia="Times New Roman"/>
                <w:sz w:val="16"/>
              </w:rPr>
              <w:t>V / S</w:t>
            </w:r>
          </w:p>
        </w:tc>
      </w:tr>
      <w:tr>
        <w:trPr>
          <w:cantSplit/>
        </w:trPr>
        <w:tc>
          <w:tcPr>
            <w:tcW w:type="dxa" w:w="1701"/>
            <w:vAlign w:val="top"/>
            <w:tcMar>
              <w:top w:w="60" w:type="dxa"/>
              <w:start w:w="70" w:type="dxa"/>
              <w:bottom w:w="60" w:type="dxa"/>
              <w:end w:w="70" w:type="dxa"/>
            </w:tcMar>
          </w:tcPr>
          <w:p>
            <w:pPr>
              <w:pStyle w:val="TableText"/>
              <w:jc w:val="left"/>
            </w:pPr>
            <w:r/>
            <w:r>
              <w:rPr>
                <w:rFonts w:ascii="Times New Roman" w:hAnsi="Times New Roman" w:eastAsia="Times New Roman"/>
                <w:sz w:val="16"/>
              </w:rPr>
              <w:t>Трасованість</w:t>
            </w:r>
          </w:p>
        </w:tc>
        <w:tc>
          <w:tcPr>
            <w:tcW w:type="dxa" w:w="3685"/>
            <w:vAlign w:val="top"/>
            <w:tcMar>
              <w:top w:w="60" w:type="dxa"/>
              <w:start w:w="70" w:type="dxa"/>
              <w:bottom w:w="60" w:type="dxa"/>
              <w:end w:w="70" w:type="dxa"/>
            </w:tcMar>
          </w:tcPr>
          <w:p>
            <w:pPr>
              <w:pStyle w:val="TableText"/>
              <w:jc w:val="left"/>
            </w:pPr>
            <w:r/>
            <w:r>
              <w:rPr>
                <w:rFonts w:ascii="Times New Roman" w:hAnsi="Times New Roman" w:eastAsia="Times New Roman"/>
                <w:sz w:val="16"/>
              </w:rPr>
              <w:t>Розриви між цілями, вимогами, реалізацією і перевірками збільшують ризик непокритих змін та невиявлених пропусків.</w:t>
            </w:r>
          </w:p>
        </w:tc>
        <w:tc>
          <w:tcPr>
            <w:tcW w:type="dxa" w:w="3118"/>
            <w:vAlign w:val="top"/>
            <w:tcMar>
              <w:top w:w="60" w:type="dxa"/>
              <w:start w:w="70" w:type="dxa"/>
              <w:bottom w:w="60" w:type="dxa"/>
              <w:end w:w="70" w:type="dxa"/>
            </w:tcMar>
          </w:tcPr>
          <w:p>
            <w:pPr>
              <w:pStyle w:val="TableText"/>
              <w:jc w:val="left"/>
            </w:pPr>
            <w:r/>
            <w:r>
              <w:rPr>
                <w:rFonts w:ascii="Times New Roman" w:hAnsi="Times New Roman" w:eastAsia="Times New Roman"/>
                <w:sz w:val="16"/>
              </w:rPr>
              <w:t>Широкий вплив через керування змінами й покриттям; емпірично пов’язувалася з defect rate [33].</w:t>
            </w:r>
          </w:p>
        </w:tc>
        <w:tc>
          <w:tcPr>
            <w:tcW w:type="dxa" w:w="1474"/>
            <w:vAlign w:val="top"/>
            <w:tcMar>
              <w:top w:w="60" w:type="dxa"/>
              <w:start w:w="70" w:type="dxa"/>
              <w:bottom w:w="60" w:type="dxa"/>
              <w:end w:w="70" w:type="dxa"/>
            </w:tcMar>
          </w:tcPr>
          <w:p>
            <w:pPr>
              <w:pStyle w:val="TableText"/>
              <w:jc w:val="left"/>
            </w:pPr>
            <w:r/>
            <w:r>
              <w:rPr>
                <w:rFonts w:ascii="Times New Roman" w:hAnsi="Times New Roman" w:eastAsia="Times New Roman"/>
                <w:sz w:val="16"/>
              </w:rPr>
              <w:t>V / R</w:t>
            </w:r>
          </w:p>
        </w:tc>
      </w:tr>
      <w:tr>
        <w:trPr>
          <w:cantSplit/>
        </w:trPr>
        <w:tc>
          <w:tcPr>
            <w:tcW w:type="dxa" w:w="1701"/>
            <w:vAlign w:val="top"/>
            <w:tcMar>
              <w:top w:w="60" w:type="dxa"/>
              <w:start w:w="70" w:type="dxa"/>
              <w:bottom w:w="60" w:type="dxa"/>
              <w:end w:w="70" w:type="dxa"/>
            </w:tcMar>
          </w:tcPr>
          <w:p>
            <w:pPr>
              <w:pStyle w:val="TableText"/>
              <w:jc w:val="left"/>
            </w:pPr>
            <w:r/>
            <w:r>
              <w:rPr>
                <w:rFonts w:ascii="Times New Roman" w:hAnsi="Times New Roman" w:eastAsia="Times New Roman"/>
                <w:sz w:val="16"/>
              </w:rPr>
              <w:t>Одиничність</w:t>
            </w:r>
          </w:p>
        </w:tc>
        <w:tc>
          <w:tcPr>
            <w:tcW w:type="dxa" w:w="3685"/>
            <w:vAlign w:val="top"/>
            <w:tcMar>
              <w:top w:w="60" w:type="dxa"/>
              <w:start w:w="70" w:type="dxa"/>
              <w:bottom w:w="60" w:type="dxa"/>
              <w:end w:w="70" w:type="dxa"/>
            </w:tcMar>
          </w:tcPr>
          <w:p>
            <w:pPr>
              <w:pStyle w:val="TableText"/>
              <w:jc w:val="left"/>
            </w:pPr>
            <w:r/>
            <w:r>
              <w:rPr>
                <w:rFonts w:ascii="Times New Roman" w:hAnsi="Times New Roman" w:eastAsia="Times New Roman"/>
                <w:sz w:val="16"/>
              </w:rPr>
              <w:t>Складена вимога ускладнює незалежне пріоритезування, трасування, реалізацію та визначення статусу виконання.</w:t>
            </w:r>
          </w:p>
        </w:tc>
        <w:tc>
          <w:tcPr>
            <w:tcW w:type="dxa" w:w="3118"/>
            <w:vAlign w:val="top"/>
            <w:tcMar>
              <w:top w:w="60" w:type="dxa"/>
              <w:start w:w="70" w:type="dxa"/>
              <w:bottom w:w="60" w:type="dxa"/>
              <w:end w:w="70" w:type="dxa"/>
            </w:tcMar>
          </w:tcPr>
          <w:p>
            <w:pPr>
              <w:pStyle w:val="TableText"/>
              <w:jc w:val="left"/>
            </w:pPr>
            <w:r/>
            <w:r>
              <w:rPr>
                <w:rFonts w:ascii="Times New Roman" w:hAnsi="Times New Roman" w:eastAsia="Times New Roman"/>
                <w:sz w:val="16"/>
              </w:rPr>
              <w:t>Переважно функціональна придатність і супроводжуваність процесу змін; конкретний ефект залежить від змісту.</w:t>
            </w:r>
          </w:p>
        </w:tc>
        <w:tc>
          <w:tcPr>
            <w:tcW w:type="dxa" w:w="1474"/>
            <w:vAlign w:val="top"/>
            <w:tcMar>
              <w:top w:w="60" w:type="dxa"/>
              <w:start w:w="70" w:type="dxa"/>
              <w:bottom w:w="60" w:type="dxa"/>
              <w:end w:w="70" w:type="dxa"/>
            </w:tcMar>
          </w:tcPr>
          <w:p>
            <w:pPr>
              <w:pStyle w:val="TableText"/>
              <w:jc w:val="left"/>
            </w:pPr>
            <w:r/>
            <w:r>
              <w:rPr>
                <w:rFonts w:ascii="Times New Roman" w:hAnsi="Times New Roman" w:eastAsia="Times New Roman"/>
                <w:sz w:val="16"/>
              </w:rPr>
              <w:t>R / V</w:t>
            </w:r>
          </w:p>
        </w:tc>
      </w:tr>
      <w:tr>
        <w:trPr>
          <w:cantSplit/>
        </w:trPr>
        <w:tc>
          <w:tcPr>
            <w:tcW w:type="dxa" w:w="1701"/>
            <w:vAlign w:val="top"/>
            <w:tcMar>
              <w:top w:w="60" w:type="dxa"/>
              <w:start w:w="70" w:type="dxa"/>
              <w:bottom w:w="60" w:type="dxa"/>
              <w:end w:w="70" w:type="dxa"/>
            </w:tcMar>
          </w:tcPr>
          <w:p>
            <w:pPr>
              <w:pStyle w:val="TableText"/>
              <w:jc w:val="left"/>
            </w:pPr>
            <w:r/>
            <w:r>
              <w:rPr>
                <w:rFonts w:ascii="Times New Roman" w:hAnsi="Times New Roman" w:eastAsia="Times New Roman"/>
                <w:sz w:val="16"/>
              </w:rPr>
              <w:t>Здійсненність</w:t>
            </w:r>
          </w:p>
        </w:tc>
        <w:tc>
          <w:tcPr>
            <w:tcW w:type="dxa" w:w="3685"/>
            <w:vAlign w:val="top"/>
            <w:tcMar>
              <w:top w:w="60" w:type="dxa"/>
              <w:start w:w="70" w:type="dxa"/>
              <w:bottom w:w="60" w:type="dxa"/>
              <w:end w:w="70" w:type="dxa"/>
            </w:tcMar>
          </w:tcPr>
          <w:p>
            <w:pPr>
              <w:pStyle w:val="TableText"/>
              <w:jc w:val="left"/>
            </w:pPr>
            <w:r/>
            <w:r>
              <w:rPr>
                <w:rFonts w:ascii="Times New Roman" w:hAnsi="Times New Roman" w:eastAsia="Times New Roman"/>
                <w:sz w:val="16"/>
              </w:rPr>
              <w:t>Нереалістична вимога спричиняє відхилення від специфікації, неплановані компроміси або перегляд архітектури.</w:t>
            </w:r>
          </w:p>
        </w:tc>
        <w:tc>
          <w:tcPr>
            <w:tcW w:type="dxa" w:w="3118"/>
            <w:vAlign w:val="top"/>
            <w:tcMar>
              <w:top w:w="60" w:type="dxa"/>
              <w:start w:w="70" w:type="dxa"/>
              <w:bottom w:w="60" w:type="dxa"/>
              <w:end w:w="70" w:type="dxa"/>
            </w:tcMar>
          </w:tcPr>
          <w:p>
            <w:pPr>
              <w:pStyle w:val="TableText"/>
              <w:jc w:val="left"/>
            </w:pPr>
            <w:r/>
            <w:r>
              <w:rPr>
                <w:rFonts w:ascii="Times New Roman" w:hAnsi="Times New Roman" w:eastAsia="Times New Roman"/>
                <w:sz w:val="16"/>
              </w:rPr>
              <w:t>Продуктивність, надійність, безпека, гнучкість, safety — залежно від обмеження.</w:t>
            </w:r>
          </w:p>
        </w:tc>
        <w:tc>
          <w:tcPr>
            <w:tcW w:type="dxa" w:w="1474"/>
            <w:vAlign w:val="top"/>
            <w:tcMar>
              <w:top w:w="60" w:type="dxa"/>
              <w:start w:w="70" w:type="dxa"/>
              <w:bottom w:w="60" w:type="dxa"/>
              <w:end w:w="70" w:type="dxa"/>
            </w:tcMar>
          </w:tcPr>
          <w:p>
            <w:pPr>
              <w:pStyle w:val="TableText"/>
              <w:jc w:val="left"/>
            </w:pPr>
            <w:r/>
            <w:r>
              <w:rPr>
                <w:rFonts w:ascii="Times New Roman" w:hAnsi="Times New Roman" w:eastAsia="Times New Roman"/>
                <w:sz w:val="16"/>
              </w:rPr>
              <w:t>R / S</w:t>
            </w:r>
          </w:p>
        </w:tc>
      </w:tr>
    </w:tbl>
    <w:p>
      <w:pPr>
        <w:spacing w:after="0"/>
      </w:pPr>
    </w:p>
    <w:p>
      <w:pPr>
        <w:jc w:val="both"/>
      </w:pPr>
      <w:r>
        <w:t>Таблиця 2.6 є аналітичною моделлю гіпотез, а не доказом сили причинного впливу. Її значення полягає в тому, що вона відокремлює механізм від результату і тим самим задає структуру майбутньої емпіричної перевірки. Такий підхід узгоджується з висновками сучасних робіт про необхідність оцінювати якість вимог через їх фактичний вплив на наступні інженерні активності, а не лише через відповідність нормативним правилам [24].</w:t>
      </w:r>
    </w:p>
    <w:p>
      <w:pPr>
        <w:jc w:val="both"/>
      </w:pPr>
      <w:r>
        <w:t>Для реалізованого проєкту або релізу позначимо через yⱼ нормоване фактичне значення характеристики qⱼ, отримане на основі однієї або декількох валідованих мір продукту. Тоді вектор фактичної якості може бути поданий як Yᴾ = (y₁, y₂, …, y₉). Правила нормування мають враховувати напрям бажаності показника: для метрик, де більше означає краще, нормування здійснюється у прямому напрямі; для дефектності, часу відмовлення чи інших небажаних величин — у зворотному. Конкретні функції нормування і агрегування повинні бути визначені лише після вибору експериментальних метрик.</w:t>
      </w:r>
    </w:p>
    <w:p>
      <w:pPr>
        <w:pStyle w:val="Eq"/>
      </w:pPr>
      <w:r>
        <w:t>Yᴾ = (y₁, y₂, …, y₉),   yⱼ ∈ [0; 1].</w:t>
      </w:r>
    </w:p>
    <w:p>
      <w:pPr>
        <w:jc w:val="both"/>
      </w:pPr>
      <w:r>
        <w:t>Формально дослідницьку задачу можна подати як пошук відображення між характеристико-специфічним описом вимог Xⱼᴿ і фактичним показником yⱼ з урахуванням контексту C проєкту:</w:t>
      </w:r>
    </w:p>
    <w:p>
      <w:pPr>
        <w:pStyle w:val="Eq"/>
      </w:pPr>
      <w:r>
        <w:t>yⱼ = Fⱼ(Xⱼᴿ, C) + εⱼ.</w:t>
      </w:r>
    </w:p>
    <w:p>
      <w:pPr>
        <w:jc w:val="both"/>
      </w:pPr>
      <w:r>
        <w:t>Тут Fⱼ — невідома функція зв’язку, C — сукупність контекстних факторів (тип системи, домен, процес розробки, критичність, розмір, структура команди тощо), а εⱼ — неврахована варіативність. На цьому етапі не робиться припущення, що Fⱼ є лінійною, однаковою для всіх характеристик або стабільною між проєктами. Навпаки, наявні емпіричні результати щодо якості вимог вказують на контекстну залежність і необхідність окремої валідації [31, 32].</w:t>
      </w:r>
    </w:p>
    <w:p>
      <w:pPr>
        <w:jc w:val="both"/>
      </w:pPr>
      <w:r>
        <w:t>На основі виконаної формалізації для подальшого експериментального дослідження доцільно сформулювати такі робочі гіпотези:</w:t>
      </w:r>
    </w:p>
    <w:p>
      <w:pPr>
        <w:ind w:firstLine="709"/>
        <w:jc w:val="both"/>
      </w:pPr>
      <w:r>
        <w:rPr>
          <w:b/>
        </w:rPr>
        <w:t>H1. Характеристико-специфічні показники якості вимог Xⱼᴿ мають статистично значущий зв’язок принаймні з частиною фактичних показників відповідної характеристики якості програмного продукту yⱼ.</w:t>
      </w:r>
    </w:p>
    <w:p>
      <w:pPr>
        <w:ind w:firstLine="709"/>
        <w:jc w:val="both"/>
      </w:pPr>
      <w:r>
        <w:rPr>
          <w:b/>
        </w:rPr>
        <w:t>H2. Показники, сформовані для релевантної підмножини Rⱼ, мають вищу пояснювальну або прогнозну здатність щодо yⱼ, ніж глобальні показники якості всієї специфікації без урахування семантичної належності.</w:t>
      </w:r>
    </w:p>
    <w:p>
      <w:pPr>
        <w:ind w:firstLine="709"/>
        <w:jc w:val="both"/>
      </w:pPr>
      <w:r>
        <w:rPr>
          <w:b/>
        </w:rPr>
        <w:t>H3. Структурні показники трасованості та зв’язності вимог надають додаткову інформацію про ризик дефектів і невідповідностей порівняно з використанням лише лінгвістичних показників якості формулювань.</w:t>
      </w:r>
    </w:p>
    <w:p>
      <w:pPr>
        <w:ind w:firstLine="709"/>
        <w:jc w:val="both"/>
      </w:pPr>
      <w:r>
        <w:rPr>
          <w:b/>
        </w:rPr>
        <w:t>H4. Сила і навіть напрям окремих зв’язків залежать від контексту C; тому універсальна фіксована матриця ваг без калібрування на даних є методологічно необґрунтованою.</w:t>
      </w:r>
    </w:p>
    <w:p>
      <w:pPr>
        <w:jc w:val="both"/>
      </w:pPr>
      <w:r>
        <w:t>Сформульовані гіпотези визначають межі подальшої роботи. У підрозділі 2.2 не вводяться остаточні вагові коефіцієнти між властивостями вимог і характеристиками якості та не стверджується, що вектор Xᴿ уже є прогнозом Yᴾ. Натомість побудовано структуру даних і механізмів, які дозволяють перевірити такі залежності на реальних проєктах. Це зберігає розділення між теоретичною формалізацією та емпіричним доведенням.</w:t>
      </w:r>
    </w:p>
    <w:p>
      <w:pPr>
        <w:jc w:val="both"/>
      </w:pPr>
      <w:r>
        <w:t>Таким чином, взаємозв’язок вимог із якістю програмного забезпечення доцільно представляти на двох рівнях. На семантичному рівні вимоги визначають цільові характеристики, умови та критерії якості; на рівні якості артефакту властивості вимог формують ризики реалізації, перевірки та керування змінами. Запропоновано матрицю семантичної належності G, характеристико-специфічні підмножини Rⱼ і вектори Xⱼᴿ, які зберігають зв’язок показників вимог із конкретними характеристиками ISO/IEC 25010:2023. Визначено три типи механізмів — семантичний, ризиково-опосередкований і верифікаційно-трасувальний — та сформульовано гіпотези для їх подальшої перевірки. Наступним кроком є формування системи конкретних метрик і правил їх обчислення на основі вимог та специфікацій, що становить зміст підрозділу 2.3.</w:t>
      </w:r>
    </w:p>
    <w:p>
      <w:pPr>
        <w:pStyle w:val="Heading1"/>
      </w:pPr>
      <w:r>
        <w:t>Список джерел до підрозділу 2.2</w:t>
      </w:r>
    </w:p>
    <w:p>
      <w:r>
        <w:t>4. ISO/IEC 25010:2023. Systems and software engineering — Systems and software Quality Requirements and Evaluation (SQuaRE) — Product quality model. Geneva: ISO, 2023.</w:t>
      </w:r>
    </w:p>
    <w:p>
      <w:r>
        <w:t>7. ISO/IEC 25020:2019. Systems and software engineering — Systems and software Quality Requirements and Evaluation (SQuaRE) — Quality measurement framework. Geneva: ISO, 2019.</w:t>
      </w:r>
    </w:p>
    <w:p>
      <w:r>
        <w:t>9. ISO/IEC 25023:2016. Systems and software engineering — Systems and software Quality Requirements and Evaluation (SQuaRE) — Measurement of system and software product quality. Geneva: ISO, 2016.</w:t>
      </w:r>
    </w:p>
    <w:p>
      <w:r>
        <w:t>10. ISO/IEC 25030:2019. Systems and software engineering — Systems and software Quality Requirements and Evaluation (SQuaRE) — Quality requirements framework. Geneva: ISO, 2019.</w:t>
      </w:r>
    </w:p>
    <w:p>
      <w:r>
        <w:t>24. Frattini J., Montgomery L., Fischbach J., Mendez D., Fucci D., Unterkalmsteiner M. Requirements quality research: a harmonized theory, evaluation, and roadmap. Requirements Engineering. 2023. Vol. 28. P. 507–520. DOI: 10.1007/s00766-023-00405-y.</w:t>
      </w:r>
    </w:p>
    <w:p>
      <w:r>
        <w:t>31. Montgomery L., Fucci D., Bouraffa A., Scholz L., Maalej W. Empirical research on requirements quality: a systematic mapping study. Requirements Engineering. 2022. Vol. 27. P. 183–209. DOI: 10.1007/s00766-021-00367-z.</w:t>
      </w:r>
    </w:p>
    <w:p>
      <w:r>
        <w:t>32. Mund J., Méndez Fernández D., Femmer H., Eckhardt J. Does Quality of Requirements Specifications Matter? Combined Results of Two Empirical Studies. 2015 ACM/IEEE International Symposium on Empirical Software Engineering and Measurement (ESEM). 2015. P. 1–10. DOI: 10.1109/ESEM.2015.7321195.</w:t>
      </w:r>
    </w:p>
    <w:p>
      <w:r>
        <w:t>33. Rempel P., Mäder P. Preventing Defects: The Impact of Requirements Traceability Completeness on Software Quality. IEEE Transactions on Software Engineering. 2017. Vol. 43, No. 8. P. 777–797. DOI: 10.1109/TSE.2016.2622264.</w:t>
      </w:r>
    </w:p>
    <w:p>
      <w:r>
        <w:t>34. Rempel P., Mäder P. Estimating the Implementation Risk of Requirements in Agile Software Development Projects with Traceability Metrics. Requirements Engineering: Foundation for Software Quality (REFSQ 2015). Lecture Notes in Computer Science. Vol. 9013. Springer, 2015. P. 81–97. DOI: 10.1007/978-3-319-16101-3_6.</w:t>
      </w:r>
    </w:p>
    <w:sectPr w:rsidR="00FC693F" w:rsidRPr="0006063C" w:rsidSect="00034616">
      <w:pgSz w:w="11906" w:h="16838"/>
      <w:pgMar w:top="1134" w:right="56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jc w:val="left"/>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
    <w:name w:val="Eq"/>
    <w:pPr>
      <w:spacing w:line="360" w:lineRule="auto" w:before="60" w:after="60"/>
      <w:ind w:firstLine="0"/>
      <w:jc w:val="center"/>
    </w:pPr>
    <w:rPr>
      <w:rFonts w:ascii="Times New Roman" w:hAnsi="Times New Roman" w:eastAsia="Times New Roman"/>
      <w:i/>
      <w:sz w:val="28"/>
    </w:rPr>
  </w:style>
  <w:style w:type="paragraph" w:customStyle="1" w:styleId="TableText">
    <w:name w:val="TableText"/>
    <w:pPr>
      <w:spacing w:line="240" w:lineRule="auto" w:before="0" w:after="0"/>
      <w:ind w:firstLine="0"/>
    </w:pPr>
    <w:rPr>
      <w:rFonts w:ascii="Times New Roman" w:hAnsi="Times New Roman" w:eastAsia="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