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Формування системи метрик якості програмного забезпечення на основі аналізу вимог та специфікацій</w:t>
      </w:r>
    </w:p>
    <w:p>
      <w:pPr>
        <w:jc w:val="both"/>
      </w:pPr>
      <w:r>
        <w:t>У підрозділах 2.1–2.2 сформовано два рівні опису вимог: загальний вектор властивостей специфікації Xᴿ та характеристико-специфічні вектори Xⱼᴿ, побудовані для підмножин вимог Rⱼ, семантично пов’язаних із характеристиками якості програмного продукту ISO/IEC 25010:2023. Для практичного застосування цієї конструкції необхідно визначити, які саме спостережувані дані мають вилучатися з вимог і специфікацій, як вони перетворюються на числові показники та за якими правилами готуються до подальшого моделювання.</w:t>
      </w:r>
    </w:p>
    <w:p>
      <w:pPr>
        <w:jc w:val="both"/>
      </w:pPr>
      <w:r>
        <w:t>ISO/IEC 25020:2019 задає загальну рамку вимірювання якості, а ISO/IEC 25023:2016 визначає міри для кількісного оцінювання характеристик якості програмного продукту [7, 9]. Водночас ці стандарти орієнтовані насамперед на систему або програмний продукт, тоді як предметом цієї роботи є ранній етап, коли реалізації ще немає. ISO/IEC 25030:2019 та ISO/IEC/IEEE 29148:2018 створюють нормативний міст до цього етапу через вимоги до якості та інформаційні елементи інженерії вимог [10, 15], але не встановлюють готового універсального набору метрик, за яким можна прогнозувати майбутню якість програмного продукту. Отже, система метрик для такого оцінювання має бути сформована окремо та надалі перевірена емпірично.</w:t>
      </w:r>
    </w:p>
    <w:p>
      <w:pPr>
        <w:jc w:val="both"/>
      </w:pPr>
      <w:r>
        <w:t>У цій роботі під метрикою вимог розуміється відтворювано обчислюваний показник, отриманий з тексту, структури, атрибутів, зв’язків або історії змін вимог. Важливо розрізняти первинну ознаку, міру та індикатор. Первинна ознака є безпосередньо спостережуваним фактом — наприклад, наявністю критерію приймання або трасувального зв’язку. Міра кількісно описує сукупність таких фактів. Індикатор інтерпретує міру відносно цілі оцінювання. Це розмежування запобігає ситуації, коли проста кількість слів або зв’язків без обґрунтованої інтерпретації помилково оголошується мірою якості.</w:t>
      </w:r>
    </w:p>
    <w:p>
      <w:pPr>
        <w:jc w:val="both"/>
      </w:pPr>
      <w:r>
        <w:t>Система метрик повинна задовольняти п’ять методичних вимог. По-перше, для кожної метрики має бути чітко визначений об’єкт і множина застосовних вимог. По-друге, алгоритм обчислення повинен бути відтворюваним. По-третє, має бути відома полярність показника: більше значення може означати кращий стан, гірший стан або лише вищу інтенсивність процесу. По-четверте, повинно бути зафіксоване джерело даних і ступінь автоматизованості. По-п’яте, метрика не повинна втрачати семантичний контекст характеристики якості qⱼ, для якої вона розраховується.</w:t>
      </w:r>
    </w:p>
    <w:p>
      <w:pPr>
        <w:jc w:val="both"/>
      </w:pPr>
      <w:r>
        <w:t>З урахуванням цих вимог специфікацію доцільно розглядати не лише як текстовий документ, а як структуроване джерело даних. Нехай S = (R, Attr, L, H), де R — множина вимог, Attr — множина атрибутів та метаданих, L — множина трасувальних і залежнісних зв’язків, H — історія змін. Для окремої вимоги rᵢ може бути сформовано набір спостережень zᵢ, який включає текстові ознаки, тип вимоги, наявність критеріїв приймання, числових обмежень, джерела, зв’язків з іншими артефактами та інформацію про зміни.</w:t>
      </w:r>
    </w:p>
    <w:p>
      <w:pPr>
        <w:pStyle w:val="Eq"/>
      </w:pPr>
      <w:r>
        <w:t xml:space="preserve">S = (R, Attr, L, H),     R = {r₁, r₂, …, rₙ}.</w:t>
      </w:r>
    </w:p>
    <w:p>
      <w:pPr>
        <w:pStyle w:val="Eq"/>
      </w:pPr>
      <w:r>
        <w:t>zᵢ = (zᵢ₁, zᵢ₂, …, zᵢₚ).</w:t>
      </w:r>
    </w:p>
    <w:p>
      <w:pPr>
        <w:jc w:val="both"/>
      </w:pPr>
      <w:r>
        <w:t>Для побудови цілісної системи доцільно об’єднати метрики у шість груп: лінгвістичні та формальні, метрики перевірюваності й операціоналізації, структурно-трасувальні, метрики покриття і повноти, метрики узгодженості та надлишковості, а також процесні метрики стабільності вимог. Таке групування відповідає різним типам інформації, доступним до реалізації ПЗ, і дозволяє уникнути домінування лише текстового аналізу.</w:t>
      </w:r>
    </w:p>
    <w:p>
      <w:pPr>
        <w:ind w:firstLine="0"/>
        <w:jc w:val="left"/>
        <w:keepNext/>
      </w:pPr>
      <w:r>
        <w:t>Таблиця 2.7 – Групи метрик вимог та джерела даних для їх обчислення</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814"/>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Група</w:t>
            </w:r>
          </w:p>
        </w:tc>
        <w:tc>
          <w:tcPr>
            <w:tcW w:type="dxa" w:w="2494"/>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Джерело даних</w:t>
            </w:r>
          </w:p>
        </w:tc>
        <w:tc>
          <w:tcPr>
            <w:tcW w:type="dxa" w:w="2948"/>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Що характеризує</w:t>
            </w:r>
          </w:p>
        </w:tc>
        <w:tc>
          <w:tcPr>
            <w:tcW w:type="dxa" w:w="2324"/>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Автоматизація та обмеження</w:t>
            </w:r>
          </w:p>
        </w:tc>
      </w:tr>
      <w:tr>
        <w:trPr>
          <w:cantSplit/>
        </w:trPr>
        <w:tc>
          <w:tcPr>
            <w:tcW w:type="dxa" w:w="1814"/>
            <w:vAlign w:val="top"/>
            <w:tcMar>
              <w:top w:w="55" w:type="dxa"/>
              <w:start w:w="65" w:type="dxa"/>
              <w:bottom w:w="55" w:type="dxa"/>
              <w:end w:w="65" w:type="dxa"/>
            </w:tcMar>
          </w:tcPr>
          <w:p>
            <w:pPr>
              <w:pStyle w:val="TableText"/>
              <w:jc w:val="left"/>
            </w:pPr>
            <w:r/>
            <w:r>
              <w:rPr>
                <w:rFonts w:ascii="Times New Roman" w:hAnsi="Times New Roman" w:eastAsia="Times New Roman"/>
                <w:sz w:val="16"/>
              </w:rPr>
              <w:t>Лінгвістичні та формальні</w:t>
            </w:r>
          </w:p>
        </w:tc>
        <w:tc>
          <w:tcPr>
            <w:tcW w:type="dxa" w:w="2494"/>
            <w:vAlign w:val="top"/>
            <w:tcMar>
              <w:top w:w="55" w:type="dxa"/>
              <w:start w:w="65" w:type="dxa"/>
              <w:bottom w:w="55" w:type="dxa"/>
              <w:end w:w="65" w:type="dxa"/>
            </w:tcMar>
          </w:tcPr>
          <w:p>
            <w:pPr>
              <w:pStyle w:val="TableText"/>
              <w:jc w:val="left"/>
            </w:pPr>
            <w:r/>
            <w:r>
              <w:rPr>
                <w:rFonts w:ascii="Times New Roman" w:hAnsi="Times New Roman" w:eastAsia="Times New Roman"/>
                <w:sz w:val="16"/>
              </w:rPr>
              <w:t>Текст вимоги, токени, частини мови, шаблон формулювання.</w:t>
            </w:r>
          </w:p>
        </w:tc>
        <w:tc>
          <w:tcPr>
            <w:tcW w:type="dxa" w:w="2948"/>
            <w:vAlign w:val="top"/>
            <w:tcMar>
              <w:top w:w="55" w:type="dxa"/>
              <w:start w:w="65" w:type="dxa"/>
              <w:bottom w:w="55" w:type="dxa"/>
              <w:end w:w="65" w:type="dxa"/>
            </w:tcMar>
          </w:tcPr>
          <w:p>
            <w:pPr>
              <w:pStyle w:val="TableText"/>
              <w:jc w:val="left"/>
            </w:pPr>
            <w:r/>
            <w:r>
              <w:rPr>
                <w:rFonts w:ascii="Times New Roman" w:hAnsi="Times New Roman" w:eastAsia="Times New Roman"/>
                <w:sz w:val="16"/>
              </w:rPr>
              <w:t>Неоднозначні або суб’єктивні конструкції, порушення шаблону, надмірна складність формулювання.</w:t>
            </w:r>
          </w:p>
        </w:tc>
        <w:tc>
          <w:tcPr>
            <w:tcW w:type="dxa" w:w="2324"/>
            <w:vAlign w:val="top"/>
            <w:tcMar>
              <w:top w:w="55" w:type="dxa"/>
              <w:start w:w="65" w:type="dxa"/>
              <w:bottom w:w="55" w:type="dxa"/>
              <w:end w:w="65" w:type="dxa"/>
            </w:tcMar>
          </w:tcPr>
          <w:p>
            <w:pPr>
              <w:pStyle w:val="TableText"/>
              <w:jc w:val="left"/>
            </w:pPr>
            <w:r/>
            <w:r>
              <w:rPr>
                <w:rFonts w:ascii="Times New Roman" w:hAnsi="Times New Roman" w:eastAsia="Times New Roman"/>
                <w:sz w:val="16"/>
              </w:rPr>
              <w:t>Висока для лексичних і частини граматичних правил; нижча для семантичних дефектів.</w:t>
            </w:r>
          </w:p>
        </w:tc>
      </w:tr>
      <w:tr>
        <w:trPr>
          <w:cantSplit/>
        </w:trPr>
        <w:tc>
          <w:tcPr>
            <w:tcW w:type="dxa" w:w="1814"/>
            <w:vAlign w:val="top"/>
            <w:tcMar>
              <w:top w:w="55" w:type="dxa"/>
              <w:start w:w="65" w:type="dxa"/>
              <w:bottom w:w="55" w:type="dxa"/>
              <w:end w:w="65" w:type="dxa"/>
            </w:tcMar>
          </w:tcPr>
          <w:p>
            <w:pPr>
              <w:pStyle w:val="TableText"/>
              <w:jc w:val="left"/>
            </w:pPr>
            <w:r/>
            <w:r>
              <w:rPr>
                <w:rFonts w:ascii="Times New Roman" w:hAnsi="Times New Roman" w:eastAsia="Times New Roman"/>
                <w:sz w:val="16"/>
              </w:rPr>
              <w:t>Перевірюваність та операціоналізація</w:t>
            </w:r>
          </w:p>
        </w:tc>
        <w:tc>
          <w:tcPr>
            <w:tcW w:type="dxa" w:w="2494"/>
            <w:vAlign w:val="top"/>
            <w:tcMar>
              <w:top w:w="55" w:type="dxa"/>
              <w:start w:w="65" w:type="dxa"/>
              <w:bottom w:w="55" w:type="dxa"/>
              <w:end w:w="65" w:type="dxa"/>
            </w:tcMar>
          </w:tcPr>
          <w:p>
            <w:pPr>
              <w:pStyle w:val="TableText"/>
              <w:jc w:val="left"/>
            </w:pPr>
            <w:r/>
            <w:r>
              <w:rPr>
                <w:rFonts w:ascii="Times New Roman" w:hAnsi="Times New Roman" w:eastAsia="Times New Roman"/>
                <w:sz w:val="16"/>
              </w:rPr>
              <w:t>Критерії приймання, числові пороги, одиниці вимірювання, умови перевірки.</w:t>
            </w:r>
          </w:p>
        </w:tc>
        <w:tc>
          <w:tcPr>
            <w:tcW w:type="dxa" w:w="2948"/>
            <w:vAlign w:val="top"/>
            <w:tcMar>
              <w:top w:w="55" w:type="dxa"/>
              <w:start w:w="65" w:type="dxa"/>
              <w:bottom w:w="55" w:type="dxa"/>
              <w:end w:w="65" w:type="dxa"/>
            </w:tcMar>
          </w:tcPr>
          <w:p>
            <w:pPr>
              <w:pStyle w:val="TableText"/>
              <w:jc w:val="left"/>
            </w:pPr>
            <w:r/>
            <w:r>
              <w:rPr>
                <w:rFonts w:ascii="Times New Roman" w:hAnsi="Times New Roman" w:eastAsia="Times New Roman"/>
                <w:sz w:val="16"/>
              </w:rPr>
              <w:t>Чи може вимога бути перетворена на об’єктивну процедуру верифікації.</w:t>
            </w:r>
          </w:p>
        </w:tc>
        <w:tc>
          <w:tcPr>
            <w:tcW w:type="dxa" w:w="2324"/>
            <w:vAlign w:val="top"/>
            <w:tcMar>
              <w:top w:w="55" w:type="dxa"/>
              <w:start w:w="65" w:type="dxa"/>
              <w:bottom w:w="55" w:type="dxa"/>
              <w:end w:w="65" w:type="dxa"/>
            </w:tcMar>
          </w:tcPr>
          <w:p>
            <w:pPr>
              <w:pStyle w:val="TableText"/>
              <w:jc w:val="left"/>
            </w:pPr>
            <w:r/>
            <w:r>
              <w:rPr>
                <w:rFonts w:ascii="Times New Roman" w:hAnsi="Times New Roman" w:eastAsia="Times New Roman"/>
                <w:sz w:val="16"/>
              </w:rPr>
              <w:t>Висока для структурованих критеріїв; середня для вільного природного тексту.</w:t>
            </w:r>
          </w:p>
        </w:tc>
      </w:tr>
      <w:tr>
        <w:trPr>
          <w:cantSplit/>
        </w:trPr>
        <w:tc>
          <w:tcPr>
            <w:tcW w:type="dxa" w:w="1814"/>
            <w:vAlign w:val="top"/>
            <w:tcMar>
              <w:top w:w="55" w:type="dxa"/>
              <w:start w:w="65" w:type="dxa"/>
              <w:bottom w:w="55" w:type="dxa"/>
              <w:end w:w="65" w:type="dxa"/>
            </w:tcMar>
          </w:tcPr>
          <w:p>
            <w:pPr>
              <w:pStyle w:val="TableText"/>
              <w:jc w:val="left"/>
            </w:pPr>
            <w:r/>
            <w:r>
              <w:rPr>
                <w:rFonts w:ascii="Times New Roman" w:hAnsi="Times New Roman" w:eastAsia="Times New Roman"/>
                <w:sz w:val="16"/>
              </w:rPr>
              <w:t>Структура і трасованість</w:t>
            </w:r>
          </w:p>
        </w:tc>
        <w:tc>
          <w:tcPr>
            <w:tcW w:type="dxa" w:w="2494"/>
            <w:vAlign w:val="top"/>
            <w:tcMar>
              <w:top w:w="55" w:type="dxa"/>
              <w:start w:w="65" w:type="dxa"/>
              <w:bottom w:w="55" w:type="dxa"/>
              <w:end w:w="65" w:type="dxa"/>
            </w:tcMar>
          </w:tcPr>
          <w:p>
            <w:pPr>
              <w:pStyle w:val="TableText"/>
              <w:jc w:val="left"/>
            </w:pPr>
            <w:r/>
            <w:r>
              <w:rPr>
                <w:rFonts w:ascii="Times New Roman" w:hAnsi="Times New Roman" w:eastAsia="Times New Roman"/>
                <w:sz w:val="16"/>
              </w:rPr>
              <w:t>Ідентифікатори, зв’язки з джерелами, цілями, дизайном, тестами, залежностями.</w:t>
            </w:r>
          </w:p>
        </w:tc>
        <w:tc>
          <w:tcPr>
            <w:tcW w:type="dxa" w:w="2948"/>
            <w:vAlign w:val="top"/>
            <w:tcMar>
              <w:top w:w="55" w:type="dxa"/>
              <w:start w:w="65" w:type="dxa"/>
              <w:bottom w:w="55" w:type="dxa"/>
              <w:end w:w="65" w:type="dxa"/>
            </w:tcMar>
          </w:tcPr>
          <w:p>
            <w:pPr>
              <w:pStyle w:val="TableText"/>
              <w:jc w:val="left"/>
            </w:pPr>
            <w:r/>
            <w:r>
              <w:rPr>
                <w:rFonts w:ascii="Times New Roman" w:hAnsi="Times New Roman" w:eastAsia="Times New Roman"/>
                <w:sz w:val="16"/>
              </w:rPr>
              <w:t>Покриття зв’язками, ізольовані вимоги, складність залежностей, готовність до аналізу впливу.</w:t>
            </w:r>
          </w:p>
        </w:tc>
        <w:tc>
          <w:tcPr>
            <w:tcW w:type="dxa" w:w="2324"/>
            <w:vAlign w:val="top"/>
            <w:tcMar>
              <w:top w:w="55" w:type="dxa"/>
              <w:start w:w="65" w:type="dxa"/>
              <w:bottom w:w="55" w:type="dxa"/>
              <w:end w:w="65" w:type="dxa"/>
            </w:tcMar>
          </w:tcPr>
          <w:p>
            <w:pPr>
              <w:pStyle w:val="TableText"/>
              <w:jc w:val="left"/>
            </w:pPr>
            <w:r/>
            <w:r>
              <w:rPr>
                <w:rFonts w:ascii="Times New Roman" w:hAnsi="Times New Roman" w:eastAsia="Times New Roman"/>
                <w:sz w:val="16"/>
              </w:rPr>
              <w:t>Висока за наявності структурованого репозиторію вимог.</w:t>
            </w:r>
          </w:p>
        </w:tc>
      </w:tr>
      <w:tr>
        <w:trPr>
          <w:cantSplit/>
        </w:trPr>
        <w:tc>
          <w:tcPr>
            <w:tcW w:type="dxa" w:w="1814"/>
            <w:vAlign w:val="top"/>
            <w:tcMar>
              <w:top w:w="55" w:type="dxa"/>
              <w:start w:w="65" w:type="dxa"/>
              <w:bottom w:w="55" w:type="dxa"/>
              <w:end w:w="65" w:type="dxa"/>
            </w:tcMar>
          </w:tcPr>
          <w:p>
            <w:pPr>
              <w:pStyle w:val="TableText"/>
              <w:jc w:val="left"/>
            </w:pPr>
            <w:r/>
            <w:r>
              <w:rPr>
                <w:rFonts w:ascii="Times New Roman" w:hAnsi="Times New Roman" w:eastAsia="Times New Roman"/>
                <w:sz w:val="16"/>
              </w:rPr>
              <w:t>Покриття і повнота</w:t>
            </w:r>
          </w:p>
        </w:tc>
        <w:tc>
          <w:tcPr>
            <w:tcW w:type="dxa" w:w="2494"/>
            <w:vAlign w:val="top"/>
            <w:tcMar>
              <w:top w:w="55" w:type="dxa"/>
              <w:start w:w="65" w:type="dxa"/>
              <w:bottom w:w="55" w:type="dxa"/>
              <w:end w:w="65" w:type="dxa"/>
            </w:tcMar>
          </w:tcPr>
          <w:p>
            <w:pPr>
              <w:pStyle w:val="TableText"/>
              <w:jc w:val="left"/>
            </w:pPr>
            <w:r/>
            <w:r>
              <w:rPr>
                <w:rFonts w:ascii="Times New Roman" w:hAnsi="Times New Roman" w:eastAsia="Times New Roman"/>
                <w:sz w:val="16"/>
              </w:rPr>
              <w:t>Класифікація вимог, модель якості, сценарії, інтерфейси, ролі, обмеження.</w:t>
            </w:r>
          </w:p>
        </w:tc>
        <w:tc>
          <w:tcPr>
            <w:tcW w:type="dxa" w:w="2948"/>
            <w:vAlign w:val="top"/>
            <w:tcMar>
              <w:top w:w="55" w:type="dxa"/>
              <w:start w:w="65" w:type="dxa"/>
              <w:bottom w:w="55" w:type="dxa"/>
              <w:end w:w="65" w:type="dxa"/>
            </w:tcMar>
          </w:tcPr>
          <w:p>
            <w:pPr>
              <w:pStyle w:val="TableText"/>
              <w:jc w:val="left"/>
            </w:pPr>
            <w:r/>
            <w:r>
              <w:rPr>
                <w:rFonts w:ascii="Times New Roman" w:hAnsi="Times New Roman" w:eastAsia="Times New Roman"/>
                <w:sz w:val="16"/>
              </w:rPr>
              <w:t>Наявність необхідних категорій та покриття релевантних характеристик якості.</w:t>
            </w:r>
          </w:p>
        </w:tc>
        <w:tc>
          <w:tcPr>
            <w:tcW w:type="dxa" w:w="2324"/>
            <w:vAlign w:val="top"/>
            <w:tcMar>
              <w:top w:w="55" w:type="dxa"/>
              <w:start w:w="65" w:type="dxa"/>
              <w:bottom w:w="55" w:type="dxa"/>
              <w:end w:w="65" w:type="dxa"/>
            </w:tcMar>
          </w:tcPr>
          <w:p>
            <w:pPr>
              <w:pStyle w:val="TableText"/>
              <w:jc w:val="left"/>
            </w:pPr>
            <w:r/>
            <w:r>
              <w:rPr>
                <w:rFonts w:ascii="Times New Roman" w:hAnsi="Times New Roman" w:eastAsia="Times New Roman"/>
                <w:sz w:val="16"/>
              </w:rPr>
              <w:t>Середня; потребує визначення очікуваної множини елементів у контексті проєкту.</w:t>
            </w:r>
          </w:p>
        </w:tc>
      </w:tr>
      <w:tr>
        <w:trPr>
          <w:cantSplit/>
        </w:trPr>
        <w:tc>
          <w:tcPr>
            <w:tcW w:type="dxa" w:w="1814"/>
            <w:vAlign w:val="top"/>
            <w:tcMar>
              <w:top w:w="55" w:type="dxa"/>
              <w:start w:w="65" w:type="dxa"/>
              <w:bottom w:w="55" w:type="dxa"/>
              <w:end w:w="65" w:type="dxa"/>
            </w:tcMar>
          </w:tcPr>
          <w:p>
            <w:pPr>
              <w:pStyle w:val="TableText"/>
              <w:jc w:val="left"/>
            </w:pPr>
            <w:r/>
            <w:r>
              <w:rPr>
                <w:rFonts w:ascii="Times New Roman" w:hAnsi="Times New Roman" w:eastAsia="Times New Roman"/>
                <w:sz w:val="16"/>
              </w:rPr>
              <w:t>Узгодженість і надлишковість</w:t>
            </w:r>
          </w:p>
        </w:tc>
        <w:tc>
          <w:tcPr>
            <w:tcW w:type="dxa" w:w="2494"/>
            <w:vAlign w:val="top"/>
            <w:tcMar>
              <w:top w:w="55" w:type="dxa"/>
              <w:start w:w="65" w:type="dxa"/>
              <w:bottom w:w="55" w:type="dxa"/>
              <w:end w:w="65" w:type="dxa"/>
            </w:tcMar>
          </w:tcPr>
          <w:p>
            <w:pPr>
              <w:pStyle w:val="TableText"/>
              <w:jc w:val="left"/>
            </w:pPr>
            <w:r/>
            <w:r>
              <w:rPr>
                <w:rFonts w:ascii="Times New Roman" w:hAnsi="Times New Roman" w:eastAsia="Times New Roman"/>
                <w:sz w:val="16"/>
              </w:rPr>
              <w:t>Текст, термінологія, залежності, семантичні представлення.</w:t>
            </w:r>
          </w:p>
        </w:tc>
        <w:tc>
          <w:tcPr>
            <w:tcW w:type="dxa" w:w="2948"/>
            <w:vAlign w:val="top"/>
            <w:tcMar>
              <w:top w:w="55" w:type="dxa"/>
              <w:start w:w="65" w:type="dxa"/>
              <w:bottom w:w="55" w:type="dxa"/>
              <w:end w:w="65" w:type="dxa"/>
            </w:tcMar>
          </w:tcPr>
          <w:p>
            <w:pPr>
              <w:pStyle w:val="TableText"/>
              <w:jc w:val="left"/>
            </w:pPr>
            <w:r/>
            <w:r>
              <w:rPr>
                <w:rFonts w:ascii="Times New Roman" w:hAnsi="Times New Roman" w:eastAsia="Times New Roman"/>
                <w:sz w:val="16"/>
              </w:rPr>
              <w:t>Конфлікти, дублікати, несумісні обмеження, термінологічні розбіжності.</w:t>
            </w:r>
          </w:p>
        </w:tc>
        <w:tc>
          <w:tcPr>
            <w:tcW w:type="dxa" w:w="2324"/>
            <w:vAlign w:val="top"/>
            <w:tcMar>
              <w:top w:w="55" w:type="dxa"/>
              <w:start w:w="65" w:type="dxa"/>
              <w:bottom w:w="55" w:type="dxa"/>
              <w:end w:w="65" w:type="dxa"/>
            </w:tcMar>
          </w:tcPr>
          <w:p>
            <w:pPr>
              <w:pStyle w:val="TableText"/>
              <w:jc w:val="left"/>
            </w:pPr>
            <w:r/>
            <w:r>
              <w:rPr>
                <w:rFonts w:ascii="Times New Roman" w:hAnsi="Times New Roman" w:eastAsia="Times New Roman"/>
                <w:sz w:val="16"/>
              </w:rPr>
              <w:t>Від середньої до низької для глибоких семантичних конфліктів; частково автоматизована для дублів.</w:t>
            </w:r>
          </w:p>
        </w:tc>
      </w:tr>
      <w:tr>
        <w:trPr>
          <w:cantSplit/>
        </w:trPr>
        <w:tc>
          <w:tcPr>
            <w:tcW w:type="dxa" w:w="1814"/>
            <w:vAlign w:val="top"/>
            <w:tcMar>
              <w:top w:w="55" w:type="dxa"/>
              <w:start w:w="65" w:type="dxa"/>
              <w:bottom w:w="55" w:type="dxa"/>
              <w:end w:w="65" w:type="dxa"/>
            </w:tcMar>
          </w:tcPr>
          <w:p>
            <w:pPr>
              <w:pStyle w:val="TableText"/>
              <w:jc w:val="left"/>
            </w:pPr>
            <w:r/>
            <w:r>
              <w:rPr>
                <w:rFonts w:ascii="Times New Roman" w:hAnsi="Times New Roman" w:eastAsia="Times New Roman"/>
                <w:sz w:val="16"/>
              </w:rPr>
              <w:t>Стабільність і зміни</w:t>
            </w:r>
          </w:p>
        </w:tc>
        <w:tc>
          <w:tcPr>
            <w:tcW w:type="dxa" w:w="2494"/>
            <w:vAlign w:val="top"/>
            <w:tcMar>
              <w:top w:w="55" w:type="dxa"/>
              <w:start w:w="65" w:type="dxa"/>
              <w:bottom w:w="55" w:type="dxa"/>
              <w:end w:w="65" w:type="dxa"/>
            </w:tcMar>
          </w:tcPr>
          <w:p>
            <w:pPr>
              <w:pStyle w:val="TableText"/>
              <w:jc w:val="left"/>
            </w:pPr>
            <w:r/>
            <w:r>
              <w:rPr>
                <w:rFonts w:ascii="Times New Roman" w:hAnsi="Times New Roman" w:eastAsia="Times New Roman"/>
                <w:sz w:val="16"/>
              </w:rPr>
              <w:t>Версії, журнали змін, статуси, історія редагування.</w:t>
            </w:r>
          </w:p>
        </w:tc>
        <w:tc>
          <w:tcPr>
            <w:tcW w:type="dxa" w:w="2948"/>
            <w:vAlign w:val="top"/>
            <w:tcMar>
              <w:top w:w="55" w:type="dxa"/>
              <w:start w:w="65" w:type="dxa"/>
              <w:bottom w:w="55" w:type="dxa"/>
              <w:end w:w="65" w:type="dxa"/>
            </w:tcMar>
          </w:tcPr>
          <w:p>
            <w:pPr>
              <w:pStyle w:val="TableText"/>
              <w:jc w:val="left"/>
            </w:pPr>
            <w:r/>
            <w:r>
              <w:rPr>
                <w:rFonts w:ascii="Times New Roman" w:hAnsi="Times New Roman" w:eastAsia="Times New Roman"/>
                <w:sz w:val="16"/>
              </w:rPr>
              <w:t>Частота змін, інтенсивність перегляду, концентрація змін у критичних підмножинах.</w:t>
            </w:r>
          </w:p>
        </w:tc>
        <w:tc>
          <w:tcPr>
            <w:tcW w:type="dxa" w:w="2324"/>
            <w:vAlign w:val="top"/>
            <w:tcMar>
              <w:top w:w="55" w:type="dxa"/>
              <w:start w:w="65" w:type="dxa"/>
              <w:bottom w:w="55" w:type="dxa"/>
              <w:end w:w="65" w:type="dxa"/>
            </w:tcMar>
          </w:tcPr>
          <w:p>
            <w:pPr>
              <w:pStyle w:val="TableText"/>
              <w:jc w:val="left"/>
            </w:pPr>
            <w:r/>
            <w:r>
              <w:rPr>
                <w:rFonts w:ascii="Times New Roman" w:hAnsi="Times New Roman" w:eastAsia="Times New Roman"/>
                <w:sz w:val="16"/>
              </w:rPr>
              <w:t>Висока за наявності історії змін; інтерпретація залежить від процесу розробки.</w:t>
            </w:r>
          </w:p>
        </w:tc>
      </w:tr>
    </w:tbl>
    <w:p>
      <w:pPr>
        <w:spacing w:after="0"/>
      </w:pPr>
    </w:p>
    <w:p>
      <w:pPr>
        <w:jc w:val="both"/>
      </w:pPr>
      <w:r>
        <w:t>Лінгвістичні метрики є природним першим рівнем автоматизації, оскільки більшість специфікацій містять природномовний текст. Підхід requirements smells показав можливість швидкого виявлення низки потенційних дефектів одразу після формулювання вимоги [18]. Подальші дослідження автоматизованого контролю продемонстрували, що значна частина лексичних і структурних правил може перевірятися детерміновано або добрими евристиками, тоді як семантичні правила частіше потребують доменного знання [35]. У сучасній роботі Veizaga, Shin і Briand NLP-підхід до виявлення smell-патернів перевірено на 2725 промислових вимогах, що підтверджує практичну придатність автоматизованого аналізу як одного з джерел метрик [36].</w:t>
      </w:r>
    </w:p>
    <w:p>
      <w:pPr>
        <w:jc w:val="both"/>
      </w:pPr>
      <w:r>
        <w:t>Однак кількість requirements smells не повинна безпосередньо трактуватися як “відсоток якості”. Автоматично виявлена мовна конструкція є сигналом потенційного ризику, а її фактична проблемність залежить від контексту. Тому у запропонованій системі лінгвістичні показники використовуються як ознаки, а не як остаточний результат оцінювання. Для бінарного правила k можна ввести множину застосовних вимог Rₖᵃᵖᵖ та частку вимог без зафіксованого порушення:</w:t>
      </w:r>
    </w:p>
    <w:p>
      <w:pPr>
        <w:pStyle w:val="Eq"/>
      </w:pPr>
      <w:r>
        <w:t>mₖ = 1 − Nₖᵛⁱᵒˡ / Nₖᵃᵖᵖ,     0 ≤ mₖ ≤ 1.</w:t>
      </w:r>
    </w:p>
    <w:p>
      <w:pPr>
        <w:jc w:val="both"/>
      </w:pPr>
      <w:r>
        <w:t>Тут Nₖᵛⁱᵒˡ — кількість вимог із порушенням правила k, а Nₖᵃᵖᵖ — кількість вимог, для яких це правило взагалі застосовне. Використання множини застосовності є принциповим: якщо певний критерій не потрібний для конкретного типу вимоги, його відсутність не повинна знижувати показник.</w:t>
      </w:r>
    </w:p>
    <w:p>
      <w:pPr/>
      <w:r>
        <w:t>Для всіх відносних метрик у цьому та наступних розділах застосовується спільна конвенція: якщо множина застосовності, що утворює знаменник, є порожньою, результат фіксується як NA (незастосовно) і не прирівнюється до нуля. Це правило поширюється на метрики перевірюваності, трасованості, покриття та інші нормовані частки.</w:t>
      </w:r>
    </w:p>
    <w:p>
      <w:pPr>
        <w:jc w:val="both"/>
      </w:pPr>
      <w:r>
        <w:t>Друга група метрик характеризує перевірюваність та ступінь операціоналізації вимог. Вимога до якості є особливо корисною для раннього оцінювання тоді, коли містить спостережувану величину, одиницю, умови вимірювання та допустиму межу. ISO/IEC 25030:2019 пов’язує вимоги до якості з подальшим оцінюванням системи або продукту [10]. Сучасні дослідження також показують можливість кількісного аналізу testability природномовних вимог, хоча конкретні математичні моделі потребують окремої валідації в кожному контексті [37].</w:t>
      </w:r>
    </w:p>
    <w:p>
      <w:pPr>
        <w:jc w:val="both"/>
      </w:pPr>
      <w:r>
        <w:t>Для цієї групи доцільно відрізняти загальну перевірюваність від операціоналізації саме вимог до якості. Нехай Rᵛ — множина вимог, для яких об’єктивна перевірка є необхідною, Rᵃᶜ — підмножина вимог із визначеним критерієм приймання, а Rᑫ — множина вимог до якості. Тоді можна використовувати такі базові співвідношення:</w:t>
      </w:r>
    </w:p>
    <w:p>
      <w:pPr>
        <w:pStyle w:val="Eq"/>
      </w:pPr>
      <w:r>
        <w:t>Mᵥₑᵣ = |Rᵥₑᵣ| / |Rᵛ|,     Mₐc = |Rᵃᶜ| / |Rᵛ|.</w:t>
      </w:r>
    </w:p>
    <w:p>
      <w:pPr>
        <w:pStyle w:val="Eq"/>
      </w:pPr>
      <w:r>
        <w:t>M_qnt = |Rᑫ_qnt| / |Rᑫ|,</w:t>
      </w:r>
    </w:p>
    <w:p>
      <w:pPr>
        <w:jc w:val="both"/>
      </w:pPr>
      <w:r>
        <w:t>де Rᵥₑᵣ — вимоги, для яких визначена відтворювана процедура перевірки, а Rᑫ_qnt — вимоги до якості, що містять кількісний критерій або інший однозначний операціоналізований результат. Показник M_qnt не вимагає, щоб усі вимоги до якості обов’язково були числовими; знаменник та критерій повинні визначатися відповідно до типу характеристики і способу її верифікації.</w:t>
      </w:r>
    </w:p>
    <w:p>
      <w:pPr>
        <w:jc w:val="both"/>
      </w:pPr>
      <w:r>
        <w:t>Третя група — структурно-трасувальні метрики. На відміну від лінгвістичних показників вони характеризують не форму речення, а місце вимоги в системі інженерних зв’язків. Результати, розглянуті в 2.2, дають підстави включити трасованість і структуру залежностей до набору ранніх ознак [33, 34]. Для кожної підмножини Rⱼ можна окремо обчислювати висхідну трасованість до джерел і цілей та низхідну трасованість до артефактів верифікації або проєктування.</w:t>
      </w:r>
    </w:p>
    <w:p>
      <w:pPr>
        <w:pStyle w:val="Eq"/>
      </w:pPr>
      <w:r>
        <w:t>M_up,j = N_up,j / |Rⱼ|,     M_down,j = N_down,j / |Rⱼᵈ|.</w:t>
      </w:r>
    </w:p>
    <w:p>
      <w:pPr>
        <w:jc w:val="both"/>
      </w:pPr>
      <w:r>
        <w:t>У другій формулі Rⱼᵈ позначає лише ті вимоги, для яких низхідний зв’язок уже повинен існувати на відповідній контрольній точці життєвого циклу. Це дозволяє використовувати одну систему метрик у різні моменти проєкту без покарання ранньої специфікації за те, що тестові артефакти ще не були створені.</w:t>
      </w:r>
    </w:p>
    <w:p>
      <w:pPr>
        <w:jc w:val="both"/>
      </w:pPr>
      <w:r>
        <w:t>Четверта група описує повноту покриття. Тут особливо небезпечно використовувати простий знаменник “усі дев’ять характеристик ISO/IEC 25010”, оскільки не кожна характеристика однаково релевантна кожній системі. Для конкретного проєкту повинна бути сформована очікувана множина Q* ⊆ Q на основі домену, цілей, ризиків та обмежень. Тоді ранній показник покриття моделі якості визначається як:</w:t>
      </w:r>
    </w:p>
    <w:p>
      <w:pPr>
        <w:pStyle w:val="Eq"/>
      </w:pPr>
      <w:r>
        <w:t>M_covQ = |Q_cov ∩ Q*| / |Q*|,</w:t>
      </w:r>
    </w:p>
    <w:p>
      <w:pPr>
        <w:jc w:val="both"/>
      </w:pPr>
      <w:r>
        <w:t>де Q_cov — множина характеристик якості, для яких у специфікації наявна щонайменше одна змістовна вимога. Аналогічно можуть будуватися показники покриття ролей, сценаріїв, інтерфейсів або нормативних обмежень, якщо відповідна очікувана множина визначена незалежно від оцінюваної специфікації.</w:t>
      </w:r>
    </w:p>
    <w:p>
      <w:pPr>
        <w:jc w:val="both"/>
      </w:pPr>
      <w:r>
        <w:t>П’ята група метрик охоплює узгодженість і надлишковість. Для автоматичного аналізу доцільно фіксувати не лише число знайдених пар, а частку вимог, що беруть участь у невирішених конфліктах або дублюванні. Нехай R_conf — множина вимог, які входять принаймні в один підтверджений конфлікт, а R_dup — множина вимог, віднесених до підтверджених дублів. Тоді:</w:t>
      </w:r>
    </w:p>
    <w:p>
      <w:pPr>
        <w:pStyle w:val="Eq"/>
      </w:pPr>
      <w:r>
        <w:t>M_cons = 1 − |R_conf| / |R|,     M_unique = 1 − |R_dup| / |R|.</w:t>
      </w:r>
    </w:p>
    <w:p>
      <w:pPr>
        <w:jc w:val="both"/>
      </w:pPr>
      <w:r>
        <w:t>Слово “підтверджений” тут є суттєвим. Семантичні моделі або NLP можуть формувати кандидати на конфлікт чи дублювання, але їх евристичний результат не слід автоматично прирівнювати до фактичного дефекту. У разі використання автоматичного детектора в експерименті необхідно окремо оцінити його precision/recall або провести експертну валідацію вибірки.</w:t>
      </w:r>
    </w:p>
    <w:p>
      <w:pPr>
        <w:jc w:val="both"/>
      </w:pPr>
      <w:r>
        <w:t>Шоста група — процесні метрики стабільності та змін. Частота зміни вимог сама по собі не є ознакою низької якості: в ітеративному процесі зміни можуть бути природним наслідком уточнення знань. Тому такі показники не повинні механічно інвертуватися в “оцінку якості”. Вони розглядаються як контекстні або ризикові змінні, що можуть пояснювати варіативність зв’язку між ранніми показниками і фактичною якістю. Для інтервалу Δt можна визначити:</w:t>
      </w:r>
    </w:p>
    <w:p>
      <w:pPr>
        <w:pStyle w:val="Eq"/>
      </w:pPr>
      <w:r>
        <w:t>M_vol(Δt) = N_changed(Δt) / N_active(Δt),</w:t>
      </w:r>
    </w:p>
    <w:p>
      <w:pPr>
        <w:pStyle w:val="Eq"/>
      </w:pPr>
      <w:r>
        <w:t>M_chg(Δt) = (Σᵢ cᵢ(Δt)) / N_active(Δt),</w:t>
      </w:r>
    </w:p>
    <w:p>
      <w:pPr>
        <w:jc w:val="both"/>
      </w:pPr>
      <w:r>
        <w:t>де N_changed(Δt) — кількість вимог, змінених хоча б один раз за інтервал, cᵢ(Δt) — число змістових змін вимоги rᵢ, N_active(Δt) — кількість активних вимог. У подальшій моделі такі величини доцільно використовувати разом із типом процесу розробки, фазою проєкту та іншими контекстними змінними C.</w:t>
      </w:r>
    </w:p>
    <w:p>
      <w:pPr>
        <w:jc w:val="both"/>
      </w:pPr>
      <w:r>
        <w:t>У таблиці 2.8 зведено мінімальний робочий словник метрик, який може бути використаний як вихідна основа експерименту. Наведені формули є запропонованими в цій роботі способами операціоналізації; вони не проголошуються стандартними метриками ISO і підлягають перевірці щодо надійності та прогностичної корисності на даних реальних проєктів.</w:t>
      </w:r>
    </w:p>
    <w:p>
      <w:pPr>
        <w:ind w:firstLine="0"/>
        <w:jc w:val="left"/>
        <w:keepNext/>
      </w:pPr>
      <w:r>
        <w:t>Таблиця 2.8 – Робочий словник метрик вимог і специфікацій для раннього оцінювання</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134"/>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5"/>
              </w:rPr>
              <w:t>Позначення</w:t>
            </w:r>
          </w:p>
        </w:tc>
        <w:tc>
          <w:tcPr>
            <w:tcW w:type="dxa" w:w="1757"/>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5"/>
              </w:rPr>
              <w:t>Властивість/аспект</w:t>
            </w:r>
          </w:p>
        </w:tc>
        <w:tc>
          <w:tcPr>
            <w:tcW w:type="dxa" w:w="1871"/>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5"/>
              </w:rPr>
              <w:t>Формула</w:t>
            </w:r>
          </w:p>
        </w:tc>
        <w:tc>
          <w:tcPr>
            <w:tcW w:type="dxa" w:w="1304"/>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5"/>
              </w:rPr>
              <w:t>Шкала</w:t>
            </w:r>
          </w:p>
        </w:tc>
        <w:tc>
          <w:tcPr>
            <w:tcW w:type="dxa" w:w="3458"/>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5"/>
              </w:rPr>
              <w:t>Інтерпретація</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M_amb</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Однозначність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1 − N_amb / N_app</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застосовних вимог без підтверджених індикаторів неоднозначності.</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M_atom</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Одиничність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N_atom / N_app</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вимог, що задають одну логічно завершену вимогу.</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M_ver</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Перевірюваність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N_ver / N_app</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вимог із відтворюваною процедурою перевірки.</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M_ac</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Критерії приймання</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N_ac / N_app</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Покриття вимог явними критеріями приймання там, де вони потрібні.</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M_qnt</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Операціоналізація якості</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N_qnt / N_Q</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вимог до якості з однозначним вимірюваним/перевірним критерієм.</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M_up</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Висхідна трасованість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N_up / N_app</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Покриття вимог зв’язками з джерелом, ціллю або обґрунтуванням.</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M_down</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Низхідна трасованість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N_down / N_app</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Покриття очікуваними зв’язками з дизайном, реалізацією або перевіркою на відповідній фазі.</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M_covQ</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Покриття якості</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|Q_cov∩Q*| / |Q*|</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Покриття контекстно релевантних характеристик якості вимогами.</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M_cons</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Несуперечливість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1 − N_conf / N</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вимог, що не входять у підтверджені невирішені конфлікти.</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M_unique</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Ненадлишковість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1 − N_dup / N</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вимог поза підтвердженими дублюючими кластерами.</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M_vol</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Волатильність</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N_changed / N_active</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[0;1], контекст</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Частка активних вимог, що змінювалися за заданий інтервал.</w:t>
            </w:r>
          </w:p>
        </w:tc>
      </w:tr>
      <w:tr>
        <w:trPr>
          <w:cantSplit/>
        </w:trPr>
        <w:tc>
          <w:tcPr>
            <w:tcW w:type="dxa" w:w="1134"/>
            <w:vAlign w:val="top"/>
            <w:tcMar>
              <w:top w:w="55" w:type="dxa"/>
              <w:start w:w="65" w:type="dxa"/>
              <w:bottom w:w="55" w:type="dxa"/>
              <w:end w:w="65" w:type="dxa"/>
            </w:tcMar>
          </w:tcPr>
          <w:p>
            <w:pPr>
              <w:pStyle w:val="TableText"/>
              <w:jc w:val="left"/>
            </w:pPr>
            <w:r/>
            <w:r>
              <w:rPr>
                <w:rFonts w:ascii="Times New Roman" w:hAnsi="Times New Roman" w:eastAsia="Times New Roman"/>
                <w:sz w:val="15"/>
              </w:rPr>
              <w:t>M_chg</w:t>
            </w:r>
          </w:p>
        </w:tc>
        <w:tc>
          <w:tcPr>
            <w:tcW w:type="dxa" w:w="1757"/>
            <w:vAlign w:val="top"/>
            <w:tcMar>
              <w:top w:w="55" w:type="dxa"/>
              <w:start w:w="65" w:type="dxa"/>
              <w:bottom w:w="55" w:type="dxa"/>
              <w:end w:w="65" w:type="dxa"/>
            </w:tcMar>
          </w:tcPr>
          <w:p>
            <w:pPr>
              <w:pStyle w:val="TableText"/>
              <w:jc w:val="left"/>
            </w:pPr>
            <w:r/>
            <w:r>
              <w:rPr>
                <w:rFonts w:ascii="Times New Roman" w:hAnsi="Times New Roman" w:eastAsia="Times New Roman"/>
                <w:sz w:val="15"/>
              </w:rPr>
              <w:t>Інтенсивність змін</w:t>
            </w:r>
          </w:p>
        </w:tc>
        <w:tc>
          <w:tcPr>
            <w:tcW w:type="dxa" w:w="1871"/>
            <w:vAlign w:val="top"/>
            <w:tcMar>
              <w:top w:w="55" w:type="dxa"/>
              <w:start w:w="65" w:type="dxa"/>
              <w:bottom w:w="55" w:type="dxa"/>
              <w:end w:w="65" w:type="dxa"/>
            </w:tcMar>
          </w:tcPr>
          <w:p>
            <w:pPr>
              <w:pStyle w:val="TableText"/>
              <w:jc w:val="left"/>
            </w:pPr>
            <w:r/>
            <w:r>
              <w:rPr>
                <w:rFonts w:ascii="Times New Roman" w:hAnsi="Times New Roman" w:eastAsia="Times New Roman"/>
                <w:sz w:val="15"/>
              </w:rPr>
              <w:t>Σcᵢ / N_active</w:t>
            </w:r>
          </w:p>
        </w:tc>
        <w:tc>
          <w:tcPr>
            <w:tcW w:type="dxa" w:w="1304"/>
            <w:vAlign w:val="top"/>
            <w:tcMar>
              <w:top w:w="55" w:type="dxa"/>
              <w:start w:w="65" w:type="dxa"/>
              <w:bottom w:w="55" w:type="dxa"/>
              <w:end w:w="65" w:type="dxa"/>
            </w:tcMar>
          </w:tcPr>
          <w:p>
            <w:pPr>
              <w:pStyle w:val="TableText"/>
              <w:jc w:val="left"/>
            </w:pPr>
            <w:r/>
            <w:r>
              <w:rPr>
                <w:rFonts w:ascii="Times New Roman" w:hAnsi="Times New Roman" w:eastAsia="Times New Roman"/>
                <w:sz w:val="15"/>
              </w:rPr>
              <w:t>[0;∞), контекст</w:t>
            </w:r>
          </w:p>
        </w:tc>
        <w:tc>
          <w:tcPr>
            <w:tcW w:type="dxa" w:w="3458"/>
            <w:vAlign w:val="top"/>
            <w:tcMar>
              <w:top w:w="55" w:type="dxa"/>
              <w:start w:w="65" w:type="dxa"/>
              <w:bottom w:w="55" w:type="dxa"/>
              <w:end w:w="65" w:type="dxa"/>
            </w:tcMar>
          </w:tcPr>
          <w:p>
            <w:pPr>
              <w:pStyle w:val="TableText"/>
              <w:jc w:val="left"/>
            </w:pPr>
            <w:r/>
            <w:r>
              <w:rPr>
                <w:rFonts w:ascii="Times New Roman" w:hAnsi="Times New Roman" w:eastAsia="Times New Roman"/>
                <w:sz w:val="15"/>
              </w:rPr>
              <w:t>Середня кількість змістових змін на активну вимогу за інтервал.</w:t>
            </w:r>
          </w:p>
        </w:tc>
      </w:tr>
    </w:tbl>
    <w:p>
      <w:pPr>
        <w:spacing w:after="0"/>
      </w:pPr>
    </w:p>
    <w:p>
      <w:pPr>
        <w:jc w:val="both"/>
      </w:pPr>
      <w:r>
        <w:t>Метрики з природною шкалою [0;1] можуть безпосередньо використовуватися як нормовані ознаки, якщо їх знаменники визначені коректно. Для негативно орієнтованих часток дефектів може використовуватися перетворення 1 − v. Проте сирі кількості, щільності або процесні показники не слід нормувати довільними константами, підібраними після перегляду всього експериментального набору. Межі та перетворення для них мають визначатися на тренувальній частині даних, за попередньо встановленими доменними порогами або через робастне масштабування. Це особливо важливо для запобігання витоку інформації під час оцінювання прогнозних моделей.</w:t>
      </w:r>
    </w:p>
    <w:p>
      <w:pPr>
        <w:jc w:val="both"/>
      </w:pPr>
      <w:r>
        <w:t>Не менш важливе правило стосується відсутніх значень. У системі повинні розрізнятися щонайменше три стани: показник обчислено; показник застосовний, але необхідні дані відсутні; показник не застосовується до даної вимоги або фази. Підстановка нуля для другого чи третього випадку змішує різні семантичні ситуації та може створити штучні закономірності. Тому разом із вектором метрик доцільно зберігати маску спостережуваності B.</w:t>
      </w:r>
    </w:p>
    <w:p>
      <w:pPr>
        <w:pStyle w:val="Eq"/>
      </w:pPr>
      <w:r>
        <w:t>B = (b₁, b₂, …, bₚ),     bₖ ∈ {0,1}.</w:t>
      </w:r>
    </w:p>
    <w:p>
      <w:pPr>
        <w:jc w:val="both"/>
      </w:pPr>
      <w:r>
        <w:t>Для автоматично отриманих метрик також доцільно зберігати інформацію про надійність процедури видобування. Дослідження автоматизованого контролю показують нерівномірну точність для лексичних, структурних і семантичних правил [35], а сучасні NLP-системи оцінюються через precision і recall на розмічених даних [36]. Тому в експериментальній реалізації для евристичних детекторів може бути введений вектор довіри D = (d₁, …, dₚ), значення якого повинні визначатися за результатами окремої валідації, а не задаватися експертно без перевірки.</w:t>
      </w:r>
    </w:p>
    <w:p>
      <w:pPr>
        <w:pStyle w:val="Eq"/>
      </w:pPr>
      <w:r>
        <w:t>D = (d₁, d₂, …, dₚ),     0 ≤ dₖ ≤ 1.</w:t>
      </w:r>
    </w:p>
    <w:p>
      <w:pPr>
        <w:jc w:val="both"/>
      </w:pPr>
      <w:r>
        <w:t>З урахуванням матриці семантичної належності G з підрозділу 2.2 більшість метрик можуть обчислюватися у двох зрізах: глобально для всієї специфікації та локально для Rⱼ. Саме локальний зріз є основним для прогнозування конкретної характеристики qⱼ. Позначимо через Mⱼ = (m₁ⱼ, …, mₚⱼ) вектор метрик, розрахованих для Rⱼ. Тоді Xⱼᴿ, сформований у 2.2 із базових властивостей вимог, є підмножиною ширшого метричного опису Mⱼ.</w:t>
      </w:r>
    </w:p>
    <w:p>
      <w:pPr>
        <w:pStyle w:val="Eq"/>
      </w:pPr>
      <w:r>
        <w:t>Mⱼ = (m₁ⱼ, m₂ⱼ, …, mₚⱼ).</w:t>
      </w:r>
    </w:p>
    <w:p>
      <w:pPr>
        <w:jc w:val="both"/>
      </w:pPr>
      <w:r>
        <w:t>Для подальшого методу оцінювання доцільно використовувати розширений вхідний опис Zⱼ, який містить метричний вектор, маску доступності, за потреби показники надійності детекторів та контекст проєкту C:</w:t>
      </w:r>
    </w:p>
    <w:p>
      <w:pPr>
        <w:pStyle w:val="Eq"/>
      </w:pPr>
      <w:r>
        <w:t>Zⱼ = (Mⱼ, Bⱼ, Relⱼ, C).</w:t>
      </w:r>
    </w:p>
    <w:p>
      <w:pPr>
        <w:jc w:val="both"/>
      </w:pPr>
      <w:r>
        <w:t>Таким чином, задача наступного етапу вже формулюється не як абстрактне “оцінити якість за вимогами”, а як побудова методу F̂ⱼ, що на основі структурованого вхідного опису Zⱼ формує ранню оцінку ŷⱼ характеристики qⱼ, яка надалі порівнюється з фактичним значенням yⱼ після реалізації:</w:t>
      </w:r>
    </w:p>
    <w:p>
      <w:pPr>
        <w:pStyle w:val="Eq"/>
      </w:pPr>
      <w:r>
        <w:t>ŷⱼ = F̂ⱼ(Zⱼ),     ŷⱼ ↔ yⱼ.</w:t>
      </w:r>
    </w:p>
    <w:p>
      <w:pPr>
        <w:jc w:val="both"/>
      </w:pPr>
      <w:r>
        <w:t>Практичний конвеєр формування Zⱼ повинен бути детермінованим настільки, наскільки це можливо. Послідовність включає: виділення атомарних одиниць вимог; зчитування структурованих атрибутів і зв’язків; лінгвістичний та правиловий аналіз; класифікацію вимог відносно Q через матрицю G; визначення множини застосовності для кожної метрики; обчислення первинних показників; агрегацію глобально і для Rⱼ; нормування без витоку інформації; формування масок відсутності й метаданих довіри. Такий конвеєр робить процес відтворюваним і дозволяє окремо оцінювати похибки кожного етапу.</w:t>
      </w:r>
    </w:p>
    <w:p>
      <w:pPr>
        <w:ind w:firstLine="0"/>
        <w:jc w:val="left"/>
        <w:keepNext/>
      </w:pPr>
      <w:r>
        <w:t>Таблиця 2.9 – Послідовність формування метричного опису вимог</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701"/>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Етап</w:t>
            </w:r>
          </w:p>
        </w:tc>
        <w:tc>
          <w:tcPr>
            <w:tcW w:type="dxa" w:w="4592"/>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Основна операція</w:t>
            </w:r>
          </w:p>
        </w:tc>
        <w:tc>
          <w:tcPr>
            <w:tcW w:type="dxa" w:w="3515"/>
            <w:shd w:fill="D9EAF7"/>
            <w:vAlign w:val="center"/>
            <w:tcMar>
              <w:top w:w="55" w:type="dxa"/>
              <w:start w:w="65" w:type="dxa"/>
              <w:bottom w:w="55" w:type="dxa"/>
              <w:end w:w="65" w:type="dxa"/>
            </w:tcMar>
          </w:tcPr>
          <w:p>
            <w:pPr>
              <w:pStyle w:val="TableText"/>
              <w:jc w:val="center"/>
            </w:pPr>
            <w:r/>
            <w:r>
              <w:rPr>
                <w:rFonts w:ascii="Times New Roman" w:hAnsi="Times New Roman" w:eastAsia="Times New Roman"/>
                <w:b/>
                <w:sz w:val="16"/>
              </w:rPr>
              <w:t>Результат</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1. Підготовка</w:t>
            </w:r>
          </w:p>
        </w:tc>
        <w:tc>
          <w:tcPr>
            <w:tcW w:type="dxa" w:w="4592"/>
            <w:vAlign w:val="top"/>
            <w:tcMar>
              <w:top w:w="55" w:type="dxa"/>
              <w:start w:w="65" w:type="dxa"/>
              <w:bottom w:w="55" w:type="dxa"/>
              <w:end w:w="65" w:type="dxa"/>
            </w:tcMar>
          </w:tcPr>
          <w:p>
            <w:pPr>
              <w:pStyle w:val="TableText"/>
              <w:jc w:val="left"/>
            </w:pPr>
            <w:r/>
            <w:r>
              <w:rPr>
                <w:rFonts w:ascii="Times New Roman" w:hAnsi="Times New Roman" w:eastAsia="Times New Roman"/>
                <w:sz w:val="16"/>
              </w:rPr>
              <w:t>Виділення вимог, ідентифікаторів, типів, атрибутів і версій.</w:t>
            </w:r>
          </w:p>
        </w:tc>
        <w:tc>
          <w:tcPr>
            <w:tcW w:type="dxa" w:w="3515"/>
            <w:vAlign w:val="top"/>
            <w:tcMar>
              <w:top w:w="55" w:type="dxa"/>
              <w:start w:w="65" w:type="dxa"/>
              <w:bottom w:w="55" w:type="dxa"/>
              <w:end w:w="65" w:type="dxa"/>
            </w:tcMar>
          </w:tcPr>
          <w:p>
            <w:pPr>
              <w:pStyle w:val="TableText"/>
              <w:jc w:val="left"/>
            </w:pPr>
            <w:r/>
            <w:r>
              <w:rPr>
                <w:rFonts w:ascii="Times New Roman" w:hAnsi="Times New Roman" w:eastAsia="Times New Roman"/>
                <w:sz w:val="16"/>
              </w:rPr>
              <w:t>Уніфікований набір R та метадані A, H.</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2. Автоматичний/експертний контроль</w:t>
            </w:r>
          </w:p>
        </w:tc>
        <w:tc>
          <w:tcPr>
            <w:tcW w:type="dxa" w:w="4592"/>
            <w:vAlign w:val="top"/>
            <w:tcMar>
              <w:top w:w="55" w:type="dxa"/>
              <w:start w:w="65" w:type="dxa"/>
              <w:bottom w:w="55" w:type="dxa"/>
              <w:end w:w="65" w:type="dxa"/>
            </w:tcMar>
          </w:tcPr>
          <w:p>
            <w:pPr>
              <w:pStyle w:val="TableText"/>
              <w:jc w:val="left"/>
            </w:pPr>
            <w:r/>
            <w:r>
              <w:rPr>
                <w:rFonts w:ascii="Times New Roman" w:hAnsi="Times New Roman" w:eastAsia="Times New Roman"/>
                <w:sz w:val="16"/>
              </w:rPr>
              <w:t>Лінгвістичні правила, перевірюваність, конфлікти, дублікати, структурні критерії.</w:t>
            </w:r>
          </w:p>
        </w:tc>
        <w:tc>
          <w:tcPr>
            <w:tcW w:type="dxa" w:w="3515"/>
            <w:vAlign w:val="top"/>
            <w:tcMar>
              <w:top w:w="55" w:type="dxa"/>
              <w:start w:w="65" w:type="dxa"/>
              <w:bottom w:w="55" w:type="dxa"/>
              <w:end w:w="65" w:type="dxa"/>
            </w:tcMar>
          </w:tcPr>
          <w:p>
            <w:pPr>
              <w:pStyle w:val="TableText"/>
              <w:jc w:val="left"/>
            </w:pPr>
            <w:r/>
            <w:r>
              <w:rPr>
                <w:rFonts w:ascii="Times New Roman" w:hAnsi="Times New Roman" w:eastAsia="Times New Roman"/>
                <w:sz w:val="16"/>
              </w:rPr>
              <w:t>Первинні ознаки zᵢ та результати перевірок.</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3. Семантична прив’язка</w:t>
            </w:r>
          </w:p>
        </w:tc>
        <w:tc>
          <w:tcPr>
            <w:tcW w:type="dxa" w:w="4592"/>
            <w:vAlign w:val="top"/>
            <w:tcMar>
              <w:top w:w="55" w:type="dxa"/>
              <w:start w:w="65" w:type="dxa"/>
              <w:bottom w:w="55" w:type="dxa"/>
              <w:end w:w="65" w:type="dxa"/>
            </w:tcMar>
          </w:tcPr>
          <w:p>
            <w:pPr>
              <w:pStyle w:val="TableText"/>
              <w:jc w:val="left"/>
            </w:pPr>
            <w:r/>
            <w:r>
              <w:rPr>
                <w:rFonts w:ascii="Times New Roman" w:hAnsi="Times New Roman" w:eastAsia="Times New Roman"/>
                <w:sz w:val="16"/>
              </w:rPr>
              <w:t>Визначення gᵢⱼ та підмножин Rⱼ відносно характеристик ISO/IEC 25010.</w:t>
            </w:r>
          </w:p>
        </w:tc>
        <w:tc>
          <w:tcPr>
            <w:tcW w:type="dxa" w:w="3515"/>
            <w:vAlign w:val="top"/>
            <w:tcMar>
              <w:top w:w="55" w:type="dxa"/>
              <w:start w:w="65" w:type="dxa"/>
              <w:bottom w:w="55" w:type="dxa"/>
              <w:end w:w="65" w:type="dxa"/>
            </w:tcMar>
          </w:tcPr>
          <w:p>
            <w:pPr>
              <w:pStyle w:val="TableText"/>
              <w:jc w:val="left"/>
            </w:pPr>
            <w:r/>
            <w:r>
              <w:rPr>
                <w:rFonts w:ascii="Times New Roman" w:hAnsi="Times New Roman" w:eastAsia="Times New Roman"/>
                <w:sz w:val="16"/>
              </w:rPr>
              <w:t>Матриця G і тематичні зрізи специфікації.</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4. Застосовність</w:t>
            </w:r>
          </w:p>
        </w:tc>
        <w:tc>
          <w:tcPr>
            <w:tcW w:type="dxa" w:w="4592"/>
            <w:vAlign w:val="top"/>
            <w:tcMar>
              <w:top w:w="55" w:type="dxa"/>
              <w:start w:w="65" w:type="dxa"/>
              <w:bottom w:w="55" w:type="dxa"/>
              <w:end w:w="65" w:type="dxa"/>
            </w:tcMar>
          </w:tcPr>
          <w:p>
            <w:pPr>
              <w:pStyle w:val="TableText"/>
              <w:jc w:val="left"/>
            </w:pPr>
            <w:r/>
            <w:r>
              <w:rPr>
                <w:rFonts w:ascii="Times New Roman" w:hAnsi="Times New Roman" w:eastAsia="Times New Roman"/>
                <w:sz w:val="16"/>
              </w:rPr>
              <w:t>Формування Rₖᵃᵖᵖ з урахуванням типу вимоги і фази життєвого циклу.</w:t>
            </w:r>
          </w:p>
        </w:tc>
        <w:tc>
          <w:tcPr>
            <w:tcW w:type="dxa" w:w="3515"/>
            <w:vAlign w:val="top"/>
            <w:tcMar>
              <w:top w:w="55" w:type="dxa"/>
              <w:start w:w="65" w:type="dxa"/>
              <w:bottom w:w="55" w:type="dxa"/>
              <w:end w:w="65" w:type="dxa"/>
            </w:tcMar>
          </w:tcPr>
          <w:p>
            <w:pPr>
              <w:pStyle w:val="TableText"/>
              <w:jc w:val="left"/>
            </w:pPr>
            <w:r/>
            <w:r>
              <w:rPr>
                <w:rFonts w:ascii="Times New Roman" w:hAnsi="Times New Roman" w:eastAsia="Times New Roman"/>
                <w:sz w:val="16"/>
              </w:rPr>
              <w:t>Коректні знаменники та маски “не застосовується”.</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5. Обчислення та агрегація</w:t>
            </w:r>
          </w:p>
        </w:tc>
        <w:tc>
          <w:tcPr>
            <w:tcW w:type="dxa" w:w="4592"/>
            <w:vAlign w:val="top"/>
            <w:tcMar>
              <w:top w:w="55" w:type="dxa"/>
              <w:start w:w="65" w:type="dxa"/>
              <w:bottom w:w="55" w:type="dxa"/>
              <w:end w:w="65" w:type="dxa"/>
            </w:tcMar>
          </w:tcPr>
          <w:p>
            <w:pPr>
              <w:pStyle w:val="TableText"/>
              <w:jc w:val="left"/>
            </w:pPr>
            <w:r/>
            <w:r>
              <w:rPr>
                <w:rFonts w:ascii="Times New Roman" w:hAnsi="Times New Roman" w:eastAsia="Times New Roman"/>
                <w:sz w:val="16"/>
              </w:rPr>
              <w:t>Розрахунок метрик глобально і для кожної Rⱼ.</w:t>
            </w:r>
          </w:p>
        </w:tc>
        <w:tc>
          <w:tcPr>
            <w:tcW w:type="dxa" w:w="3515"/>
            <w:vAlign w:val="top"/>
            <w:tcMar>
              <w:top w:w="55" w:type="dxa"/>
              <w:start w:w="65" w:type="dxa"/>
              <w:bottom w:w="55" w:type="dxa"/>
              <w:end w:w="65" w:type="dxa"/>
            </w:tcMar>
          </w:tcPr>
          <w:p>
            <w:pPr>
              <w:pStyle w:val="TableText"/>
              <w:jc w:val="left"/>
            </w:pPr>
            <w:r/>
            <w:r>
              <w:rPr>
                <w:rFonts w:ascii="Times New Roman" w:hAnsi="Times New Roman" w:eastAsia="Times New Roman"/>
                <w:sz w:val="16"/>
              </w:rPr>
              <w:t>Вектори M та Mⱼ.</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6. Підготовка даних</w:t>
            </w:r>
          </w:p>
        </w:tc>
        <w:tc>
          <w:tcPr>
            <w:tcW w:type="dxa" w:w="4592"/>
            <w:vAlign w:val="top"/>
            <w:tcMar>
              <w:top w:w="55" w:type="dxa"/>
              <w:start w:w="65" w:type="dxa"/>
              <w:bottom w:w="55" w:type="dxa"/>
              <w:end w:w="65" w:type="dxa"/>
            </w:tcMar>
          </w:tcPr>
          <w:p>
            <w:pPr>
              <w:pStyle w:val="TableText"/>
              <w:jc w:val="left"/>
            </w:pPr>
            <w:r/>
            <w:r>
              <w:rPr>
                <w:rFonts w:ascii="Times New Roman" w:hAnsi="Times New Roman" w:eastAsia="Times New Roman"/>
                <w:sz w:val="16"/>
              </w:rPr>
              <w:t>Полярність, нормування, пропущені значення, D для евристичних детекторів.</w:t>
            </w:r>
          </w:p>
        </w:tc>
        <w:tc>
          <w:tcPr>
            <w:tcW w:type="dxa" w:w="3515"/>
            <w:vAlign w:val="top"/>
            <w:tcMar>
              <w:top w:w="55" w:type="dxa"/>
              <w:start w:w="65" w:type="dxa"/>
              <w:bottom w:w="55" w:type="dxa"/>
              <w:end w:w="65" w:type="dxa"/>
            </w:tcMar>
          </w:tcPr>
          <w:p>
            <w:pPr>
              <w:pStyle w:val="TableText"/>
              <w:jc w:val="left"/>
            </w:pPr>
            <w:r>
              <w:rPr>
                <w:rFonts w:ascii="Times New Roman" w:hAnsi="Times New Roman" w:eastAsia="Times New Roman"/>
                <w:sz w:val="16"/>
              </w:rPr>
              <w:t>Bⱼ, Relⱼ і нормований набір ознак.</w:t>
            </w:r>
          </w:p>
        </w:tc>
      </w:tr>
      <w:tr>
        <w:trPr>
          <w:cantSplit/>
        </w:trPr>
        <w:tc>
          <w:tcPr>
            <w:tcW w:type="dxa" w:w="1701"/>
            <w:vAlign w:val="top"/>
            <w:tcMar>
              <w:top w:w="55" w:type="dxa"/>
              <w:start w:w="65" w:type="dxa"/>
              <w:bottom w:w="55" w:type="dxa"/>
              <w:end w:w="65" w:type="dxa"/>
            </w:tcMar>
          </w:tcPr>
          <w:p>
            <w:pPr>
              <w:pStyle w:val="TableText"/>
              <w:jc w:val="left"/>
            </w:pPr>
            <w:r/>
            <w:r>
              <w:rPr>
                <w:rFonts w:ascii="Times New Roman" w:hAnsi="Times New Roman" w:eastAsia="Times New Roman"/>
                <w:sz w:val="16"/>
              </w:rPr>
              <w:t>7. Формування входу методу</w:t>
            </w:r>
          </w:p>
        </w:tc>
        <w:tc>
          <w:tcPr>
            <w:tcW w:type="dxa" w:w="4592"/>
            <w:vAlign w:val="top"/>
            <w:tcMar>
              <w:top w:w="55" w:type="dxa"/>
              <w:start w:w="65" w:type="dxa"/>
              <w:bottom w:w="55" w:type="dxa"/>
              <w:end w:w="65" w:type="dxa"/>
            </w:tcMar>
          </w:tcPr>
          <w:p>
            <w:pPr>
              <w:pStyle w:val="TableText"/>
              <w:jc w:val="left"/>
            </w:pPr>
            <w:r>
              <w:rPr>
                <w:rFonts w:ascii="Times New Roman" w:hAnsi="Times New Roman" w:eastAsia="Times New Roman"/>
                <w:sz w:val="16"/>
              </w:rPr>
              <w:t>Об’єднання Mⱼ, Bⱼ, Relⱼ з контекстом C.</w:t>
            </w:r>
          </w:p>
        </w:tc>
        <w:tc>
          <w:tcPr>
            <w:tcW w:type="dxa" w:w="3515"/>
            <w:vAlign w:val="top"/>
            <w:tcMar>
              <w:top w:w="55" w:type="dxa"/>
              <w:start w:w="65" w:type="dxa"/>
              <w:bottom w:w="55" w:type="dxa"/>
              <w:end w:w="65" w:type="dxa"/>
            </w:tcMar>
          </w:tcPr>
          <w:p>
            <w:pPr>
              <w:pStyle w:val="TableText"/>
              <w:jc w:val="left"/>
            </w:pPr>
            <w:r/>
            <w:r>
              <w:rPr>
                <w:rFonts w:ascii="Times New Roman" w:hAnsi="Times New Roman" w:eastAsia="Times New Roman"/>
                <w:sz w:val="16"/>
              </w:rPr>
              <w:t>Zⱼ — вхід для методу раннього оцінювання.</w:t>
            </w:r>
          </w:p>
        </w:tc>
      </w:tr>
    </w:tbl>
    <w:p>
      <w:pPr>
        <w:spacing w:after="0"/>
      </w:pPr>
    </w:p>
    <w:p>
      <w:pPr>
        <w:jc w:val="both"/>
      </w:pPr>
      <w:r>
        <w:t>Запропонована система навмисно не зводиться до одного інтегрального “індексу якості вимог”. Передчасне агрегування приховало б різну природу ознак, відмінності між характеристиками qⱼ та контекстну залежність, встановлену в 2.2. На цьому етапі доцільніше зберігати багатовимірний метричний профіль і дозволити емпіричним даним визначити, які ознаки справді несуть інформацію про конкретні показники якості програмного продукту.</w:t>
      </w:r>
    </w:p>
    <w:p>
      <w:pPr>
        <w:jc w:val="both"/>
      </w:pPr>
      <w:r>
        <w:t>Критеріями відбору метрик для експерименту повинні бути не лише простота обчислення, а змістова валідність, повторюваність, доступність даних до реалізації, відсутність дублювання та достатня варіативність між проєктами. Ознаки, що майже завжди мають одне значення, або метрики, які фактично вимірюють один і той самий дефект різними способами, можуть погіршити стійкість моделі. Тому остаточний набір ознак має формуватися через попередній аналіз розподілів, кореляцій, мультиколінеарності та стабільності результатів на різних вибірках.</w:t>
      </w:r>
    </w:p>
    <w:p>
      <w:pPr>
        <w:jc w:val="both"/>
      </w:pPr>
      <w:r>
        <w:t>Таким чином, у підрозділі 2.3 специфікацію подано як структуроване джерело даних S = (R, Attr, L, H), сформовано шість груп метрик та робочий словник кількісних показників, визначено правила застосовності, полярності, нормування й обробки відсутніх значень. Для кожної характеристики qⱼ формується локальний вектор Mⱼ, який разом із маскою доступності Bⱼ, інформацією про надійність автоматизованих процедур Relⱼ та контекстом C утворює вхідний опис Zⱼ. У результаті другий розділ завершується формальною постановкою задачі переходу від вимог і специфікацій до ранньої оцінки якості програмного продукту. Розроблення конкретного методу, що реалізує відображення Zⱼ → ŷⱼ, становить предмет наступного розділу.</w:t>
      </w:r>
    </w:p>
    <w:p>
      <w:pPr>
        <w:pStyle w:val="Heading1"/>
      </w:pPr>
      <w:r>
        <w:t>Список джерел до підрозділу 2.3</w:t>
      </w:r>
    </w:p>
    <w:p>
      <w:r>
        <w:t>7. ISO/IEC 25020:2019. Systems and software engineering — Systems and software Quality Requirements and Evaluation (SQuaRE) — Quality measurement framework. Geneva: ISO, 2019.</w:t>
      </w:r>
    </w:p>
    <w:p>
      <w:r>
        <w:t>9. ISO/IEC 25023:2016. Systems and software engineering — Systems and software Quality Requirements and Evaluation (SQuaRE) — Measurement of system and software product quality. Geneva: ISO, 2016.</w:t>
      </w:r>
    </w:p>
    <w:p>
      <w:r>
        <w:t>10. ISO/IEC 25030:2019. Systems and software engineering — Systems and software Quality Requirements and Evaluation (SQuaRE) — Quality requirements framework. Geneva: ISO, 2019.</w:t>
      </w:r>
    </w:p>
    <w:p>
      <w:r>
        <w:t>15. ISO/IEC/IEEE 29148:2018. Systems and software engineering — Life cycle processes — Requirements engineering. Geneva: ISO, 2018.</w:t>
      </w:r>
    </w:p>
    <w:p>
      <w:r>
        <w:t>18. Femmer H., Méndez Fernández D., Wagner S., Eder S. Rapid quality assurance with Requirements Smells. Journal of Systems and Software. 2017. Vol. 123. P. 190–213. DOI: 10.1016/j.jss.2016.02.047.</w:t>
      </w:r>
    </w:p>
    <w:p>
      <w:r>
        <w:t>33. Rempel P., Mäder P. Preventing Defects: The Impact of Requirements Traceability Completeness on Software Quality. IEEE Transactions on Software Engineering. 2017. Vol. 43, No. 8. P. 777–797. DOI: 10.1109/TSE.2016.2622264.</w:t>
      </w:r>
    </w:p>
    <w:p>
      <w:r>
        <w:t>34. Rempel P., Mäder P. Estimating the Implementation Risk of Requirements in Agile Software Development Projects with Traceability Metrics. Requirements Engineering: Foundation for Software Quality (REFSQ 2015). Lecture Notes in Computer Science. Vol. 9013. Springer, 2015. P. 81–97. DOI: 10.1007/978-3-319-16101-3_6.</w:t>
      </w:r>
    </w:p>
    <w:p>
      <w:r>
        <w:t>35. Femmer H., Unterkalmsteiner M., Gorschek T. Which Requirements Artifact Quality Defects are Automatically Detectable? A Case Study. 2017 IEEE 25th International Requirements Engineering Conference Workshops (REW). 2017. P. 400–406. DOI: 10.1109/REW.2017.18.</w:t>
      </w:r>
    </w:p>
    <w:p>
      <w:r>
        <w:t>36. Veizaga A., Shin S. Y., Briand L. C. Automated Smell Detection and Recommendation in Natural Language Requirements. IEEE Transactions on Software Engineering. 2024. Vol. 50, No. 4. P. 695–720. DOI: 10.1109/TSE.2024.3361033.</w:t>
      </w:r>
    </w:p>
    <w:p>
      <w:r>
        <w:t>37. Zakeri-Nasrabadi M., Parsa S. Natural language requirements testability measurement based on requirement smells. Neural Computing and Applications. 2024. Vol. 36, No. 21. P. 13051–13085. DOI: 10.1007/s00521-024-09730-x.</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jc w:val="left"/>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ind w:firstLine="0"/>
      <w:jc w:val="center"/>
    </w:pPr>
    <w:rPr>
      <w:rFonts w:ascii="Times New Roman" w:hAnsi="Times New Roman" w:eastAsia="Times New Roman"/>
      <w:i/>
      <w:sz w:val="28"/>
    </w:rPr>
  </w:style>
  <w:style w:type="paragraph" w:customStyle="1" w:styleId="TableText">
    <w:name w:val="TableText"/>
    <w:pPr>
      <w:spacing w:line="240" w:lineRule="auto" w:before="0" w:after="0"/>
      <w:ind w:firstLine="0"/>
    </w:pPr>
    <w:rPr>
      <w:rFonts w:ascii="Times New Roman" w:hAnsi="Times New Roman" w:eastAsia="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