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b/>
          <w:sz w:val="28"/>
        </w:rPr>
        <w:t>3.1. Статичні методи оцінювання якості на основі аналізу вимог і проєктних артефактів</w:t>
      </w:r>
    </w:p>
    <w:p>
      <w:pPr>
        <w:jc w:val="both"/>
      </w:pPr>
      <w:r>
        <w:rPr>
          <w:rFonts w:ascii="Times New Roman" w:hAnsi="Times New Roman"/>
          <w:sz w:val="28"/>
        </w:rPr>
        <w:t>Статичне оцінювання якості у контексті цієї роботи розглядається як сукупність процедур аналізу вимог, специфікацій, трасувальних зв’язків, моделей архітектури, проєктних рішень та, за наявності реалізації, вихідного коду без запуску програмної системи. Такий підхід принципово відрізняється від динамічного тестування: джерелом доказів є властивості та взаємозв’язки артефактів життєвого циклу, а не спостереження за поведінкою виконуваної системи. Саме тому статичні методи є базовими для раннього оцінювання, коли код ще відсутній або доступний лише частково.</w:t>
      </w:r>
    </w:p>
    <w:p>
      <w:pPr>
        <w:jc w:val="both"/>
      </w:pPr>
      <w:r>
        <w:rPr>
          <w:rFonts w:ascii="Times New Roman" w:hAnsi="Times New Roman"/>
          <w:sz w:val="28"/>
        </w:rPr>
        <w:t>ISO/IEC 20246:2017 встановлює загальну рамку рев’ю робочих продуктів і прямо трактує робочим продуктом будь-який артефакт, створений процесом [22]. Це дозволяє застосовувати систематичне рев’ю не лише до вихідного коду, а й до вимог, специфікацій, архітектурних описів та інших документів. ISO/IEC/IEEE 29148:2018, використаний у другому розділі, визначає процеси та інформаційні елементи інженерії вимог [15]. У сукупності ці стандарти дають нормативну основу для того, щоб оцінювання розпочиналося з вимог, а не переносилося на етап уже готової реалізації.</w:t>
      </w:r>
    </w:p>
    <w:p>
      <w:pPr>
        <w:jc w:val="both"/>
      </w:pPr>
      <w:r>
        <w:rPr>
          <w:rFonts w:ascii="Times New Roman" w:hAnsi="Times New Roman"/>
          <w:sz w:val="28"/>
        </w:rPr>
        <w:t>У запропонованій схемі статичний аналіз не ототожнюється з одним інструментом або видом перевірки. Він організовується як багаторівневий процес, у якому кожен наступний рівень використовує артефакти, що стають доступними в міру розвитку проєкту. На ранньому етапі аналізуються вимоги й специфікації; після формування структури системи додаються трасувальні та архітектурні свідчення; після появи коду — результати статичного аналізу реалізації. Тому повнота статичного доказового профілю залежить від зрілості проєкту, а відсутність пізніх артефактів не повинна трактуватися як нульова якість.</w:t>
      </w:r>
    </w:p>
    <w:p>
      <w:pPr>
        <w:jc w:val="both"/>
      </w:pPr>
      <w:r>
        <w:rPr>
          <w:rFonts w:ascii="Times New Roman" w:hAnsi="Times New Roman"/>
          <w:sz w:val="28"/>
        </w:rPr>
        <w:t>Вихідною точкою є сформований у розділі 2 опис Zⱼ = (Mⱼ, Bⱼ, Relⱼ, C) для характеристики якості qⱼ. До нього додаються статичні свідчення з інших артефактів. Позначимо через Eⱼʳᵉᑫ свідчення, отримані безпосередньо з вимог; Eⱼᵗʳ — свідчення зі структури трасування і залежностей; Eⱼᵃʳᶜʰ — архітектурні свідчення; Eⱼᶜᵒᵈᵉ — свідчення зі статичного аналізу вихідного коду. Сукупний статичний профіль має вигляд:</w:t>
      </w:r>
    </w:p>
    <w:p>
      <w:pPr>
        <w:pStyle w:val="Eq"/>
      </w:pPr>
      <w:r>
        <w:rPr>
          <w:rFonts w:ascii="Times New Roman" w:hAnsi="Times New Roman"/>
          <w:i/>
          <w:sz w:val="28"/>
        </w:rPr>
        <w:t>Eⱼˢᵗᵃᵗ = (Eⱼʳᵉᑫ, Eⱼᵗʳ, Eⱼᵃʳᶜʰ, Eⱼᶜᵒᵈᵉ, Bⱼˢᵗᵃᵗ).</w:t>
      </w:r>
    </w:p>
    <w:p>
      <w:pPr>
        <w:jc w:val="both"/>
      </w:pPr>
      <w:r>
        <w:rPr>
          <w:rFonts w:ascii="Times New Roman" w:hAnsi="Times New Roman"/>
          <w:sz w:val="28"/>
        </w:rPr>
        <w:t>Вектор Bⱼˢᵗᵃᵗ фіксує доступність відповідних груп артефактів і є необхідним для коректної інтерпретації результату. Наприклад, відсутність Eⱼᶜᵒᵈᵉ на етапі формування вимог означає лише те, що код ще не створено; вона не може автоматично зменшувати ранню оцінку. Такий принцип узгоджується з правилом застосовності, введеним у 2.1–2.3, і дозволяє використовувати один метод на різних стадіях життєвого циклу без підміни відсутніх даних нульовими значеннями.</w:t>
      </w:r>
    </w:p>
    <w:p>
      <w:pPr>
        <w:jc w:val="left"/>
      </w:pPr>
      <w:r>
        <w:rPr>
          <w:rFonts w:ascii="Times New Roman" w:hAnsi="Times New Roman"/>
          <w:sz w:val="28"/>
        </w:rPr>
        <w:t>Таблиця 3.1 – Рівні статичного оцінювання та джерела свідчень</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304"/>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Рівень</w:t>
            </w:r>
          </w:p>
        </w:tc>
        <w:tc>
          <w:tcPr>
            <w:tcW w:type="dxa" w:w="1814"/>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Артефакти</w:t>
            </w:r>
          </w:p>
        </w:tc>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Методи</w:t>
            </w:r>
          </w:p>
        </w:tc>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Результат</w:t>
            </w:r>
          </w:p>
        </w:tc>
        <w:tc>
          <w:tcPr>
            <w:tcW w:type="dxa" w:w="238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Основне обмеження</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Вимоги та специфікації</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Текст вимог, атрибути, критерії приймання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Рев’ю, правила якості, NLP/шаблонний аналіз</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Дефекти формулювання, повнота, перевірюваність, операціоналізація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Доступний від початку; контекстні властивості не визначаються лише з тексту</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Трасування і залежності</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Зв’язки requirement–requirement, requirement–architecture, requirement–test</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Графовий і покривний аналіз</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Ізольовані вимоги, пропуски зв’язків, концентрація залежностей, покриття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Залежить від дисципліни ведення трасування</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Архітектура</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Архітектурні описи, рішення, моделі, інтерфейси</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Перевірка відповідності вимогам і stakeholder concerns</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Покриття quality concerns, ризикові рішення, конфлікти</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Потребує достатньо сформованої архітектури</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Вихідний код</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Код, структура модулів, залежності, правила програмування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Статичний аналіз коду і архітектурних порушень</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Дефекти, вразливості, складність, порушення практик</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Не є раннім джерелом; доступний після реалізації</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Інтегрований профіль</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Усі доступні статичні артефакти</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Узгодження доказів за qⱼ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Eⱼˢᵗᵃᵗ та перелік невирішених ризиків</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Не є фактичною якістю продукту; потребує подальшої валідації</w:t>
            </w:r>
          </w:p>
        </w:tc>
      </w:tr>
    </w:tbl>
    <w:p/>
    <w:p>
      <w:pPr>
        <w:jc w:val="both"/>
      </w:pPr>
      <w:r>
        <w:rPr>
          <w:rFonts w:ascii="Times New Roman" w:hAnsi="Times New Roman"/>
          <w:sz w:val="28"/>
        </w:rPr>
        <w:t>Першим рівнем є статичний аналіз вимог. Він спирається на метричний словник другого розділу, але розширює його процедурою отримання доказів. У межах кожної множини Rⱼ перевіряються властивості окремих вимог і специфікації в цілому: однозначність, одиничність, несуперечливість, перевірюваність, наявність критеріїв приймання, операціоналізація вимог до якості, трасованість, надлишковість та стабільність. Автоматичні правила і NLP-детектори використовуються лише для тих дефектів, для яких існують спостережувані мовні або структурні ознаки; коректність, необхідність і здійсненність залишаються предметом експертного та доменного аналізу. Це продовжує розмежування, сформоване в 2.1 і підтверджене дослідженнями автоматизованого виявлення дефектів вимог [18, 35].</w:t>
      </w:r>
    </w:p>
    <w:p>
      <w:pPr>
        <w:jc w:val="both"/>
      </w:pPr>
      <w:r>
        <w:rPr>
          <w:rFonts w:ascii="Times New Roman" w:hAnsi="Times New Roman"/>
          <w:sz w:val="28"/>
        </w:rPr>
        <w:t>Рев’ю вимог доцільно організовувати не як одноразове читання документа, а як відтворюваний цикл: визначення об’єкта й критеріїв перевірки; підготовка артефактів; незалежний або груповий аналіз; реєстрація знахідок; класифікація дефектів; коригування; повторна перевірка. ISO/IEC 20246:2017 описує загальний процес, діяльності, завдання та техніки рев’ю робочих продуктів [22]. Для дисертаційного методу принципово, щоб результатом рев’ю була не лише текстова примітка, а структурований набір знахідок, який можна зв’язати з конкретною вимогою rᵢ, характеристикою qⱼ та відповідною метрикою.</w:t>
      </w:r>
    </w:p>
    <w:p>
      <w:pPr>
        <w:jc w:val="both"/>
      </w:pPr>
      <w:r>
        <w:rPr>
          <w:rFonts w:ascii="Times New Roman" w:hAnsi="Times New Roman"/>
          <w:sz w:val="28"/>
        </w:rPr>
        <w:t>Позначимо через fᵢₖ ∈ {0,1} факт виявлення дефекту класу k у вимозі rᵢ. Для множини застосовних вимог Rₖᵃᵖᵖ частка вимог без дефекту може бути визначена як mₖ = 1 − Σfᵢₖ/|Rₖᵃᵖᵖ|. На відміну від простого підрахунку зауважень, така форма зберігає знаменник застосовності та дозволяє порівнювати специфікації різного розміру. Однак величина mₖ є лише статичним індикатором стану артефакту; вона не є безпосереднім значенням якості програмного продукту qⱼ.</w:t>
      </w:r>
    </w:p>
    <w:p>
      <w:pPr>
        <w:jc w:val="both"/>
      </w:pPr>
      <w:r>
        <w:rPr>
          <w:rFonts w:ascii="Times New Roman" w:hAnsi="Times New Roman"/>
          <w:sz w:val="28"/>
        </w:rPr>
        <w:t>Для вимог до продуктивності, надійності, безпеки та інших вимірюваних характеристик додатково перевіряється операціоналізація. Вимога повинна містити або однозначно посилатися на об’єкт вимірювання, умови, одиницю, порогове або цільове значення та критерій приймання. Якщо ці компоненти відсутні, подальше динамічне підтвердження ускладнюється незалежно від того, наскільки граматично коректно сформульовано текст. Таким чином, статичний аналіз створює не лише оцінку документальної якості, а й передумови майбутньої верифікації.</w:t>
      </w:r>
    </w:p>
    <w:p>
      <w:pPr>
        <w:pStyle w:val="Eq"/>
      </w:pPr>
      <w:r>
        <w:rPr>
          <w:rFonts w:ascii="Times New Roman" w:hAnsi="Times New Roman"/>
          <w:i/>
          <w:sz w:val="28"/>
        </w:rPr>
        <w:t>mₖ = 1 − (Σᵢ fᵢₖ) / |Rₖᵃᵖᵖ|,     0 ≤ mₖ ≤ 1.</w:t>
      </w:r>
    </w:p>
    <w:p>
      <w:pPr>
        <w:jc w:val="both"/>
      </w:pPr>
      <w:r>
        <w:rPr>
          <w:rFonts w:ascii="Times New Roman" w:hAnsi="Times New Roman"/>
          <w:sz w:val="28"/>
        </w:rPr>
        <w:t>Другий рівень становить структурний і трасувальний аналіз. У специфікації S множина L уже містить зв’язки між вимогами та іншими інформаційними елементами. Для статичного оцінювання ці зв’язки доцільно подати графом трасування T = (V_T, E_T), де вершинами є вимоги й пов’язані артефакти, а ребрами — відношення залежності, деталізації, реалізації, верифікації або іншого типу. Графове представлення дозволяє перейти від простого показника “є/немає посилання” до аналізу структури залежностей.</w:t>
      </w:r>
    </w:p>
    <w:p>
      <w:pPr>
        <w:jc w:val="both"/>
      </w:pPr>
      <w:r>
        <w:rPr>
          <w:rFonts w:ascii="Times New Roman" w:hAnsi="Times New Roman"/>
          <w:sz w:val="28"/>
        </w:rPr>
        <w:t>Для характеристики qⱼ ключовим є покриття релевантної множини Rⱼ подальшими артефактами. Наприклад, архітектурне покриття визначає частку вимог, для яких існує зв’язок із принаймні одним архітектурним елементом або рішенням; аналогічно може визначатися покриття критеріями приймання чи майбутніми тестами. Окремо фіксуються “сирітські” вимоги без очікуваних вихідних зв’язків, елементи реалізації без обґрунтовувальної вимоги, циклічні залежності, а також вершини з надмірною концентрацією зв’язків. Дослідження Rempel і Mäder показують, що повнота трасування та структурні метрики залежностей вимог можуть бути пов’язані з дефектністю та ризиком реалізації [33, 34]. У цій роботі ці результати використовуються як обґрунтування для включення трасувальних ознак до статичного профілю, але не як підстава для фіксованих універсальних ваг.</w:t>
      </w:r>
    </w:p>
    <w:p>
      <w:pPr>
        <w:jc w:val="both"/>
      </w:pPr>
      <w:r>
        <w:rPr>
          <w:rFonts w:ascii="Times New Roman" w:hAnsi="Times New Roman"/>
          <w:sz w:val="28"/>
        </w:rPr>
        <w:t>Нехай Rⱼᵃʳᶜʰ,ᵃᵖᵖ ⊆ Rⱼ — підмножина вимог, для яких на поточній контрольній точці архітектурний зв’язок уже повинен існувати, а Aⱼᵃʳᶜʰ ⊆ Rⱼᵃʳᶜʰ,ᵃᵖᵖ — вимоги, які мають підтверджений трасувальний зв’язок з архітектурним артефактом. Тоді базове архітектурне покриття визначається як covⱼᵃʳᶜʰ = |Aⱼᵃʳᶜʰ|/|Rⱼᵃʳᶜʰ,ᵃᵖᵖ|. Аналогічно Oⱼ формується лише серед вимог, для яких вихідний зв’язок є обов’язковим, а orphanⱼ = |Oⱼ|/|Rⱼᵃʳᶜʰ,ᵃᵖᵖ|. Якщо множина застосовності порожня, обидва показники мають значення NA. Ці показники мають різну полярність: зростання covⱼᵃʳᶜʰ зазвичай свідчить про кращу структурну забезпеченість, тоді як зростання orphanⱼ — про вищий ризик втрати вимоги.</w:t>
      </w:r>
    </w:p>
    <w:p>
      <w:pPr>
        <w:pStyle w:val="Eq"/>
      </w:pPr>
      <w:r>
        <w:rPr>
          <w:rFonts w:ascii="Times New Roman" w:hAnsi="Times New Roman"/>
          <w:i/>
          <w:sz w:val="28"/>
        </w:rPr>
        <w:t xml:space="preserve">T = (V_T, E_T),     covⱼᵃʳᶜʰ = |Aⱼᵃʳᶜʰ| / |Rⱼᵃʳᶜʰ,ᵃᵖᵖ|,     orphanⱼ = |Oⱼ| / |Rⱼᵃʳᶜʰ,ᵃᵖᵖ|.</w:t>
      </w:r>
    </w:p>
    <w:p>
      <w:pPr>
        <w:jc w:val="left"/>
      </w:pPr>
      <w:r>
        <w:rPr>
          <w:rFonts w:ascii="Times New Roman" w:hAnsi="Times New Roman"/>
          <w:sz w:val="28"/>
        </w:rPr>
        <w:t>Таблиця 3.2 – Приклади статичних індикаторів для вимог і трасувальних зв’язків</w:t>
      </w:r>
    </w:p>
    <w:tbl>
      <w:tblPr>
        <w:tblStyle w:val="TableGrid"/>
        <w:tblW w:type="auto" w:w="0"/>
        <w:jc w:val="center"/>
        <w:tblLayout w:type="fixed"/>
        <w:tblLook w:firstColumn="1" w:firstRow="1" w:lastColumn="0" w:lastRow="0" w:noHBand="0" w:noVBand="1" w:val="04A0"/>
      </w:tblPr>
      <w:tblGrid>
        <w:gridCol w:w="1984"/>
        <w:gridCol w:w="1984"/>
        <w:gridCol w:w="1984"/>
        <w:gridCol w:w="1984"/>
        <w:gridCol w:w="1984"/>
      </w:tblGrid>
      <w:tr>
        <w:trPr>
          <w:tblHeader w:val="true"/>
        </w:trPr>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Індикатор</w:t>
            </w:r>
          </w:p>
        </w:tc>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Приклад обчислення</w:t>
            </w:r>
          </w:p>
        </w:tc>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Множина застосовності</w:t>
            </w:r>
          </w:p>
        </w:tc>
        <w:tc>
          <w:tcPr>
            <w:tcW w:type="dxa" w:w="964"/>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Полярність</w:t>
            </w:r>
          </w:p>
        </w:tc>
        <w:tc>
          <w:tcPr>
            <w:tcW w:type="dxa" w:w="2778"/>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Інтерпретація</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Бездефектність за правилом k</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mₖ = 1 − Nₖᵛⁱᵒˡ/Nₖᵃᵖᵖ</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Вимоги, до яких правило застосовне</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w:t>
            </w:r>
          </w:p>
        </w:tc>
        <w:tc>
          <w:tcPr>
            <w:tcW w:type="dxa" w:w="1984"/>
            <w:vAlign w:val="center"/>
            <w:tcMar>
              <w:top w:w="70" w:type="dxa"/>
              <w:left w:w="70" w:type="dxa"/>
              <w:bottom w:w="70" w:type="dxa"/>
              <w:right w:w="70" w:type="dxa"/>
            </w:tcMar>
          </w:tcPr>
          <w:p>
            <w:pPr>
              <w:spacing w:line="240" w:lineRule="auto" w:before="0" w:after="0"/>
              <w:jc w:val="left"/>
            </w:pPr>
            <w:r>
              <w:rPr>
                <w:rFonts w:ascii="Times New Roman" w:hAnsi="Times New Roman" w:eastAsia="Times New Roman"/>
                <w:sz w:val="16"/>
              </w:rPr>
              <w:t>Сигнал формальної/лінгвістичної якості, а не якості програмного продукту</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Покриття критеріїв приймання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Nᵃᶜᶜ/Nᵃᵖᵖ</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Вимоги, що потребують критеріїв</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Готовність вимоги до перевірки</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Архітектурне покриття qⱼ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|Aⱼᵃʳᶜʰ|/|Rⱼ|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Rⱼ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Наявність реалізаційного/архітектурного обґрунтування</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Частка сирітських вимог</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|Oⱼ|/|Rⱼ|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Rⱼ</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Ризик неврахованої або невідстеженої вимоги</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Щільність залежностей</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|E_RR|/|R| або нормована форма</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Граф залежностей вимог</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контекстна</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Надто низька або висока щільність може мати різну семантику</w:t>
            </w:r>
          </w:p>
        </w:tc>
      </w:tr>
      <w:tr>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Концентрація зв’язків</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max degree / нормований degree</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Граф трасування</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контекстна</w:t>
            </w:r>
          </w:p>
        </w:tc>
        <w:tc>
          <w:tcPr>
            <w:tcW w:type="dxa" w:w="1984"/>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Допомагає знаходити вузли високого впливу та ризику</w:t>
            </w:r>
          </w:p>
        </w:tc>
      </w:tr>
    </w:tbl>
    <w:p/>
    <w:p>
      <w:pPr>
        <w:jc w:val="both"/>
      </w:pPr>
      <w:r>
        <w:rPr>
          <w:rFonts w:ascii="Times New Roman" w:hAnsi="Times New Roman"/>
          <w:sz w:val="28"/>
        </w:rPr>
        <w:t>Третім рівнем є оцінювання архітектури відносно вимог до якості. ISO/IEC/IEEE 42010:2022 встановлює вимоги до архітектурних описів, понять, viewpoints і model kinds, що використовуються для представлення архітектури [38]. ISO/IEC/IEEE 42030:2019 визначає рамку організації та документування архітектурних оцінювань, серед цілей яких прямо зазначено перевірку того, чи адресує архітектура concerns зацікавлених сторін, і оцінювання її якості відносно призначення [39]. Для цієї роботи важливо, що вимоги до якості можуть бути перетворені на архітектурні concerns, а потім — на перевірювані архітектурні свідчення.</w:t>
      </w:r>
    </w:p>
    <w:p>
      <w:pPr>
        <w:jc w:val="both"/>
      </w:pPr>
      <w:r>
        <w:rPr>
          <w:rFonts w:ascii="Times New Roman" w:hAnsi="Times New Roman"/>
          <w:sz w:val="28"/>
        </w:rPr>
        <w:t>Архітектурний аналіз не повинен зводитися до перевірки наявності UML-діаграми. Для кожної qⱼ та множини Rⱼ необхідно встановити: які архітектурні рішення покликані забезпечити відповідні вимоги; якими моделями або описами вони представлені; які припущення та компроміси містять; які ризики залишаються невирішеними; чи існують суперечності між різними вимогами до якості. Наприклад, вимога до доступності може бути пов’язана з резервуванням і механізмами відновлення, вимога до безпеки — з межами довіри, контролем доступу та криптографічними механізмами, а вимога до продуктивності — з розподілом відповідальності, кешуванням або обмеженнями комунікації між компонентами.</w:t>
      </w:r>
    </w:p>
    <w:p>
      <w:pPr>
        <w:jc w:val="both"/>
      </w:pPr>
      <w:r>
        <w:rPr>
          <w:rFonts w:ascii="Times New Roman" w:hAnsi="Times New Roman"/>
          <w:sz w:val="28"/>
        </w:rPr>
        <w:t>Доцільно розділяти факт трасованого архітектурного покриття і змістову достатність рішення. Перше може бути визначено автоматично через зв’язки, друге часто потребує експертної оцінки або формалізованої архітектурної процедури. Нехай hᵃʳᶜʰᵢⱼ ∈ [0,1] — оцінка того, наскільки архітектурні свідчення для вимоги rᵢ підтримують відповідну concern qⱼ за визначеними критеріями. Тоді локальний архітектурний профіль можна сформувати як набір таких оцінок разом із маскою доступності та переліком відкритих ризиків. На цьому етапі hᵃʳᶜʰᵢⱼ не є універсальною “вагою архітектури”; спосіб її отримання повинен бути зафіксований і перевірений окремо.</w:t>
      </w:r>
    </w:p>
    <w:p>
      <w:pPr>
        <w:jc w:val="both"/>
      </w:pPr>
      <w:r>
        <w:rPr>
          <w:rFonts w:ascii="Times New Roman" w:hAnsi="Times New Roman"/>
          <w:sz w:val="28"/>
        </w:rPr>
        <w:t>Архітектурний рівень є особливо важливим для виявлення конфліктів між характеристиками. Рішення, що підвищує одну властивість, може погіршувати іншу: додаткове шифрування може впливати на продуктивність, жорстка ізоляція компонентів — на сумісність, а надмірне резервування — на ресурсну ефективність. Тому результатом статичного аналізу має бути не лише позитивне покриття вимог, а й реєстр компромісів та ризиків, зв’язаний з qⱼ. Це зберігає причинно-смислову інтерпретованість майбутньої оцінки.</w:t>
      </w:r>
    </w:p>
    <w:p>
      <w:pPr>
        <w:pStyle w:val="Eq"/>
      </w:pPr>
      <w:r>
        <w:rPr>
          <w:rFonts w:ascii="Times New Roman" w:hAnsi="Times New Roman"/>
          <w:i/>
          <w:sz w:val="28"/>
        </w:rPr>
        <w:t>Eⱼᵃʳᶜʰ = (covⱼᵃʳᶜʰ, hⱼᵃʳᶜʰ, riskⱼᵃʳᶜʰ, tradeoffⱼ).</w:t>
      </w:r>
    </w:p>
    <w:p>
      <w:pPr>
        <w:jc w:val="both"/>
      </w:pPr>
      <w:r>
        <w:rPr>
          <w:rFonts w:ascii="Times New Roman" w:hAnsi="Times New Roman"/>
          <w:sz w:val="28"/>
        </w:rPr>
        <w:t>Четвертий рівень — статичний аналіз вихідного коду — включається лише після появи реалізації. Його місце у запропонованому методі є допоміжним і верифікаційним: результати аналізу коду не використовуються для підміни ранніх ознак вимог, а доповнюють їх і дають змогу перевірити, чи проявилися передбачені ризики в реалізації. ISO/IEC 5055:2021 визначає автоматизовані міри якості вихідного коду, що базуються на виявленні та підрахунку порушень належних архітектурних і програмних практик, здатних спричиняти операційні ризики або надмірні витрати [13].</w:t>
      </w:r>
    </w:p>
    <w:p>
      <w:pPr>
        <w:jc w:val="both"/>
      </w:pPr>
      <w:r>
        <w:rPr>
          <w:rFonts w:ascii="Times New Roman" w:hAnsi="Times New Roman"/>
          <w:sz w:val="28"/>
        </w:rPr>
        <w:t>На цьому рівні можуть аналізуватися порушення правил програмування, складність, дублювання, небезпечні залежності, проблеми ресурсного управління, вразливості, порушення архітектурних меж та інші статично спостережувані властивості. Проте показники коду мають іншу природу, ніж метрики вимог. Наприклад, цикломатична складність або кількість порушень не можуть бути обчислені до реалізації, а тому не повинні входити до базового раннього вектора Zⱼ. Вони формують окремий Eⱼᶜᵒᵈᵉ, який з’являється на пізнішій стадії.</w:t>
      </w:r>
    </w:p>
    <w:p>
      <w:pPr>
        <w:jc w:val="both"/>
      </w:pPr>
      <w:r>
        <w:rPr>
          <w:rFonts w:ascii="Times New Roman" w:hAnsi="Times New Roman"/>
          <w:sz w:val="28"/>
        </w:rPr>
        <w:t>Особливий інтерес становить трасування “вимога → архітектурне рішення → код”. Якщо вимога rᵢ належить до qⱼ і пов’язана з конкретним модулем або компонентом, статичні показники цього модуля можна аналізувати як локальні постреалізаційні свідчення. Такий зв’язок дає змогу перевіряти гіпотези другого розділу на більш детальному рівні: не лише порівнювати глобальну якість вимог із загальною дефектністю, а досліджувати, чи локальні проблеми вимог співвідносяться з локальними порушеннями або дефектами відповідної реалізації.</w:t>
      </w:r>
    </w:p>
    <w:p>
      <w:pPr>
        <w:jc w:val="both"/>
      </w:pPr>
      <w:r>
        <w:rPr>
          <w:rFonts w:ascii="Times New Roman" w:hAnsi="Times New Roman"/>
          <w:sz w:val="28"/>
        </w:rPr>
        <w:t>Водночас статичний аналіз коду не встановлює фактичну поведінку системи. Відсутність статично виявлених порушень не гарантує виконання вимог до часу відгуку, доступності, відмовостійкості або зручності використання. Саме тому результати Eⱼᶜᵒᵈᵉ у третьому розділі розглядаються як один канал доказів, а остаточне підтвердження відповідності потребує динамічних методів, що розглядатимуться у 3.2.</w:t>
      </w:r>
    </w:p>
    <w:p>
      <w:pPr>
        <w:jc w:val="left"/>
      </w:pPr>
      <w:r>
        <w:rPr>
          <w:rFonts w:ascii="Times New Roman" w:hAnsi="Times New Roman"/>
          <w:sz w:val="28"/>
        </w:rPr>
        <w:t>Таблиця 3.3 – Зв’язок статичних свідчень із характеристиками якості програмного продукту</w:t>
      </w:r>
    </w:p>
    <w:tbl>
      <w:tblPr>
        <w:tblStyle w:val="TableGrid"/>
        <w:tblW w:type="auto" w:w="0"/>
        <w:jc w:val="center"/>
        <w:tblLayout w:type="fixed"/>
        <w:tblLook w:firstColumn="1" w:firstRow="1" w:lastColumn="0" w:lastRow="0" w:noHBand="0" w:noVBand="1" w:val="04A0"/>
      </w:tblPr>
      <w:tblGrid>
        <w:gridCol w:w="2480"/>
        <w:gridCol w:w="2480"/>
        <w:gridCol w:w="2480"/>
        <w:gridCol w:w="2480"/>
      </w:tblGrid>
      <w:tr>
        <w:trPr>
          <w:tblHeader w:val="true"/>
        </w:trPr>
        <w:tc>
          <w:tcPr>
            <w:tcW w:type="dxa" w:w="170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Характеристика</w:t>
            </w:r>
          </w:p>
        </w:tc>
        <w:tc>
          <w:tcPr>
            <w:tcW w:type="dxa" w:w="2381"/>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Основні статичні джерела</w:t>
            </w:r>
          </w:p>
        </w:tc>
        <w:tc>
          <w:tcPr>
            <w:tcW w:type="dxa" w:w="2438"/>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Типові ризики</w:t>
            </w:r>
          </w:p>
        </w:tc>
        <w:tc>
          <w:tcPr>
            <w:tcW w:type="dxa" w:w="2324"/>
            <w:vAlign w:val="center"/>
            <w:tcMar>
              <w:top w:w="70" w:type="dxa"/>
              <w:left w:w="70" w:type="dxa"/>
              <w:bottom w:w="70" w:type="dxa"/>
              <w:right w:w="70" w:type="dxa"/>
            </w:tcMar>
          </w:tcPr>
          <w:p>
            <w:pPr>
              <w:spacing w:line="240" w:lineRule="auto" w:before="0" w:after="0"/>
              <w:jc w:val="center"/>
            </w:pPr>
            <w:r/>
            <w:r>
              <w:rPr>
                <w:rFonts w:ascii="Times New Roman" w:hAnsi="Times New Roman"/>
                <w:b/>
                <w:sz w:val="16"/>
              </w:rPr>
              <w:t>Межа статичного висновку</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Функціональна придатність</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Повнота і несуперечливість функціональних вимог; покриття архітектурою</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Пропуски вимог, конфлікти, відсутність реалізаційного зв’язку</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Фактична правильність функцій перевіряється динамічно</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Продуктивність</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Кількісні обмеження, архітектурні рішення, статичні resource-risk ознаки</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Неопераціоналізовані вимоги, ризикові залежності, ресурсоємні конструкції</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Час відгуку і throughput потребують виконання</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Сумісність / взаємодія</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Інтерфейсні вимоги, контракти, залежності, архітектурні межі</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Неповні інтерфейси, конфлікти форматів/протоколів</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Реальна взаємодія підтверджується інтеграційними тестами</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Надійність</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Вимоги до відмов, відновлення, архітектурне резервування, code-level risks</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Пропущені recovery scenarios, одиничні точки відмови</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Фактична частота відмов визначається динамічно</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Безпека</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Security requirements, trust boundaries, access-control links, code vulnerabilities</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Неопераціоналізовані security-вимоги, пропущені межі довіри, статичні вразливості</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Стійкість до реальних атак потребує динамічної перевірки</w:t>
            </w:r>
          </w:p>
        </w:tc>
      </w:tr>
      <w:tr>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Підтримуваність / гнучкість</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Модульність архітектури, залежності, складність коду, трасування змін</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Висока зв’язаність, цикли, дублювання, слабка трасованість</w:t>
            </w:r>
          </w:p>
        </w:tc>
        <w:tc>
          <w:tcPr>
            <w:tcW w:type="dxa" w:w="2480"/>
            <w:vAlign w:val="center"/>
            <w:tcMar>
              <w:top w:w="70" w:type="dxa"/>
              <w:left w:w="70" w:type="dxa"/>
              <w:bottom w:w="70" w:type="dxa"/>
              <w:right w:w="70" w:type="dxa"/>
            </w:tcMar>
          </w:tcPr>
          <w:p>
            <w:pPr>
              <w:spacing w:line="240" w:lineRule="auto" w:before="0" w:after="0"/>
              <w:jc w:val="left"/>
            </w:pPr>
            <w:r/>
            <w:r>
              <w:rPr>
                <w:rFonts w:ascii="Times New Roman" w:hAnsi="Times New Roman"/>
                <w:b w:val="0"/>
                <w:sz w:val="16"/>
              </w:rPr>
              <w:t>Витрати на реальні зміни потребують спостереження процесу</w:t>
            </w:r>
          </w:p>
        </w:tc>
      </w:tr>
    </w:tbl>
    <w:p/>
    <w:p>
      <w:pPr>
        <w:jc w:val="both"/>
      </w:pPr>
      <w:r>
        <w:rPr>
          <w:rFonts w:ascii="Times New Roman" w:hAnsi="Times New Roman"/>
          <w:sz w:val="28"/>
        </w:rPr>
        <w:t>Для об’єднання різнорідних результатів статичного аналізу необхідно зберегти їх походження, застосовність і часову доступність. Тому на цьому етапі не вводиться один сумарний “статичний бал”. Натомість для кожної qⱼ формується багатоканальний профіль Eⱼˢᵗᵃᵗ і журнал статичних знахідок Fⱼˢᵗᵃᵗ. Кожна знахідка має містити щонайменше ідентифікатор артефакту, тип дефекту або ризику, джерело правила/критерію, рівень серйозності, зв’язок із qⱼ, статус підтвердження та посилання на доказ.</w:t>
      </w:r>
    </w:p>
    <w:p>
      <w:pPr>
        <w:jc w:val="both"/>
      </w:pPr>
      <w:r>
        <w:rPr>
          <w:rFonts w:ascii="Times New Roman" w:hAnsi="Times New Roman"/>
          <w:sz w:val="28"/>
        </w:rPr>
        <w:t>Практична процедура формування Eⱼˢᵗᵃᵗ складається з восьми кроків. На першому кроці визначається цільова характеристика qⱼ і релевантна множина вимог Rⱼ. На другому перевіряється доступність артефактів та формується Bⱼˢᵗᵃᵗ. На третьому виконуються правиловий, метричний та експертний аналіз вимог. На четвертому будується або перевіряється граф трасування T. На п’ятому встановлюються зв’язки вимог із архітектурними concerns та рішеннями. На шостому, якщо код доступний, розраховуються локальні статичні показники реалізації. На сьомому результати нормуються лише там, де це методично обґрунтовано, а знахідки зберігаються окремо від числових індикаторів. На восьмому формується Eⱼˢᵗᵃᵗ та перелік невирішених ризиків, що передається до методу оцінювання 3.3.</w:t>
      </w:r>
    </w:p>
    <w:p>
      <w:pPr>
        <w:jc w:val="both"/>
      </w:pPr>
      <w:r>
        <w:rPr>
          <w:rFonts w:ascii="Times New Roman" w:hAnsi="Times New Roman"/>
          <w:sz w:val="28"/>
        </w:rPr>
        <w:t>Для відтворюваності кожен числовий компонент статичного профілю повинен мати паспорт метрики: формулу, множину застосовності, джерело даних, полярність, правила обробки пропусків і рівень автоматизації. Для експертних компонентів додатково потрібні критерії шкалювання і процедура узгодження оцінок. Це особливо важливо для архітектурних свідчень, де одна й та сама вимога може мати декілька допустимих рішень і оцінювання залежить від контексту.</w:t>
      </w:r>
    </w:p>
    <w:p>
      <w:pPr>
        <w:jc w:val="both"/>
      </w:pPr>
      <w:r>
        <w:rPr>
          <w:rFonts w:ascii="Times New Roman" w:hAnsi="Times New Roman"/>
          <w:sz w:val="28"/>
        </w:rPr>
        <w:t>Таким чином, статичний підхід у цій роботі виконує дві взаємопов’язані функції. Перша — рання: виявити дефекти вимог і структурні ризики до початку реалізації та сформувати вимірюваний профіль для qⱼ. Друга — підтверджувальна: у міру появи архітектури й коду додавати нові канали свідчень і перевіряти, чи зберігаються або матеріалізуються ризики, виявлені на рівні вимог. Це забезпечує наскрізність оцінювання протягом життєвого циклу без змішування артефактних метрик з фактичними динамічними показниками.</w:t>
      </w:r>
    </w:p>
    <w:p>
      <w:pPr>
        <w:jc w:val="both"/>
      </w:pPr>
      <w:r>
        <w:rPr>
          <w:rFonts w:ascii="Times New Roman" w:hAnsi="Times New Roman"/>
          <w:sz w:val="28"/>
        </w:rPr>
        <w:t>Результатом підрозділу є формалізована схема формування статичних свідчень Eⱼˢᵗᵃᵗ = (Eⱼʳᵉᑫ, Eⱼᵗʳ, Eⱼᵃʳᶜʰ, Eⱼᶜᵒᵈᵉ, Bⱼˢᵗᵃᵗ). Цей профіль не є остаточною оцінкою якості програмного продукту і не замінює спостереження за поведінкою системи. У підрозділі 3.2 він буде доповнений динамічними свідченнями, а у 3.3 — включений до методу формування ранньої прогнозної оцінки та її інтерпретації.</w:t>
      </w:r>
    </w:p>
    <w:p>
      <w:pPr>
        <w:pStyle w:val="Heading1"/>
      </w:pPr>
      <w:r>
        <w:t>Список джерел до підрозділу 3.1</w:t>
      </w:r>
    </w:p>
    <w:p>
      <w:r>
        <w:t>13. ISO/IEC 5055:2021. Information technology — Software measurement — Software quality measurement — Automated source code quality measures. Geneva: ISO, 2021.</w:t>
      </w:r>
    </w:p>
    <w:p>
      <w:r>
        <w:t>15. ISO/IEC/IEEE 29148:2018. Systems and software engineering — Life cycle processes — Requirements engineering. Geneva: ISO, 2018.</w:t>
      </w:r>
    </w:p>
    <w:p>
      <w:r>
        <w:t>18. Femmer H., Méndez Fernández D., Wagner S., Eder S. Rapid quality assurance with Requirements Smells. Journal of Systems and Software. 2017. Vol. 123. P. 190–213. DOI: 10.1016/j.jss.2016.02.047.</w:t>
      </w:r>
    </w:p>
    <w:p>
      <w:r>
        <w:t>22. ISO/IEC 20246:2017. Software and systems engineering — Work product reviews. Geneva: ISO, 2017.</w:t>
      </w:r>
    </w:p>
    <w:p>
      <w:r>
        <w:t>33. Rempel P., Mäder P. Preventing Defects: The Impact of Requirements Traceability Completeness on Software Quality. IEEE Transactions on Software Engineering. 2017. Vol. 43, No. 8. P. 777–797. DOI: 10.1109/TSE.2016.2622264.</w:t>
      </w:r>
    </w:p>
    <w:p>
      <w:r>
        <w:t>34. Rempel P., Mäder P. Estimating the Implementation Risk of Requirements in Agile Software Development Projects with Traceability Metrics. Requirements Engineering: Foundation for Software Quality (REFSQ 2015). Lecture Notes in Computer Science. Vol. 9013. Springer, 2015. P. 81–97. DOI: 10.1007/978-3-319-16101-3_6.</w:t>
      </w:r>
    </w:p>
    <w:p>
      <w:r>
        <w:t>35. Femmer H., Unterkalmsteiner M., Gorschek T. Which Requirements Artifact Quality Defects are Automatically Detectable? A Case Study. 2017 IEEE 25th International Requirements Engineering Conference Workshops (REW). 2017. P. 400–406. DOI: 10.1109/REW.2017.18.</w:t>
      </w:r>
    </w:p>
    <w:p>
      <w:r>
        <w:t>38. ISO/IEC/IEEE 42010:2022. Software, systems and enterprise — Architecture description. Geneva: ISO, 2022.</w:t>
      </w:r>
    </w:p>
    <w:p>
      <w:r>
        <w:t>39. ISO/IEC/IEEE 42030:2019. Software, systems and enterprise — Architecture evaluation framework. Geneva: ISO, 2019.</w:t>
      </w:r>
    </w:p>
    <w:sectPr w:rsidR="00FC693F" w:rsidRPr="0006063C" w:rsidSect="00034616">
      <w:pgSz w:w="11906" w:h="16838"/>
      <w:pgMar w:top="1134" w:right="56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jc w:val="left"/>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
    <w:name w:val="Eq"/>
    <w:pPr>
      <w:spacing w:line="360" w:lineRule="auto" w:before="60" w:after="60"/>
      <w:jc w:val="center"/>
    </w:pPr>
    <w:rPr>
      <w:rFonts w:ascii="Times New Roman" w:hAnsi="Times New Roman"/>
      <w:i/>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