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3.2. Динамічні методи валідації та оцінювання відповідності програмного забезпечення вимогам</w:t>
      </w:r>
    </w:p>
    <w:p>
      <w:pPr>
        <w:jc w:val="both"/>
      </w:pPr>
      <w:r>
        <w:rPr>
          <w:rFonts w:ascii="Times New Roman" w:hAnsi="Times New Roman" w:eastAsia="Times New Roman"/>
          <w:sz w:val="28"/>
        </w:rPr>
        <w:t>Статичні свідчення, сформовані у підрозділі 3.1, дають змогу оцінювати якість вимог, структуру трасування, архітектурні ризики та властивості реалізації без виконання програмної системи. Проте значна частина характеристик якості програмного продукту проявляється лише у поведінці системи під час виконання. Час відгуку, пропускна здатність, відновлення після відмови, фактична взаємодія із зовнішніми компонентами, стійкість механізмів захисту та результати користувацької взаємодії не можуть бути достовірно встановлені тільки статичним аналізом. Тому методична схема потребує другого каналу — динамічних свідчень.</w:t>
      </w:r>
    </w:p>
    <w:p>
      <w:pPr>
        <w:jc w:val="both"/>
      </w:pPr>
      <w:r>
        <w:rPr>
          <w:rFonts w:ascii="Times New Roman" w:hAnsi="Times New Roman" w:eastAsia="Times New Roman"/>
          <w:sz w:val="28"/>
        </w:rPr>
        <w:t>У межах цієї роботи динамічне оцінювання визначається як отримання вимірюваних свідчень про відповідність програмного продукту вимогам шляхом виконання системи або її виконуваної частини у визначених умовах. ISO/IEC/IEEE 29119-1:2022 встановлює загальні поняття серії стандартів з тестування [12], ISO/IEC/IEEE 29119-2:2021 визначає процеси керування та виконання тестування, придатні для різних моделей життєвого циклу [40], а ISO/IEC/IEEE 29119-4:2021 систематизує техніки проєктування тестів [42]. У запропонованому підході ці положення використовуються не для побудови каталогу видів тестування, а для організації відтворюваного переходу від вимоги до спостережуваного результату.</w:t>
      </w:r>
    </w:p>
    <w:p>
      <w:pPr>
        <w:jc w:val="both"/>
      </w:pPr>
      <w:r>
        <w:rPr>
          <w:rFonts w:ascii="Times New Roman" w:hAnsi="Times New Roman" w:eastAsia="Times New Roman"/>
          <w:sz w:val="28"/>
        </w:rPr>
        <w:t>Динамічний канал виконує дві функції. Перша — верифікаційно-валідаційна: перевірити, чи задовольняє реалізована система критерії, сформовані з вимог і специфікацій. Друга — експериментальна: надати фактичні показники, з якими можна зіставляти ранні оцінки, отримані на основі вимог. Таким чином, динамічні дані не замінюють раннє прогнозування, а створюють еталонні або підтверджувальні спостереження, необхідні для калібрування і перевірки методу, що розробляється.</w:t>
      </w:r>
    </w:p>
    <w:p>
      <w:pPr>
        <w:jc w:val="both"/>
      </w:pPr>
      <w:r>
        <w:rPr>
          <w:rFonts w:ascii="Times New Roman" w:hAnsi="Times New Roman" w:eastAsia="Times New Roman"/>
          <w:sz w:val="28"/>
        </w:rPr>
        <w:t>Базовим принципом є збереження наскрізного ланцюга доказів. Для кожної вимоги rᵢ, що належить до множини Rⱼ відповідної характеристики qⱼ, повинно бути визначено, який критерій приймання або інший спостережуваний критерій підтверджує її виконання, яким тестом або експериментом цей критерій перевіряється та яке значення фактично отримано. У загальному вигляді такий ланцюг має форму:</w:t>
      </w:r>
    </w:p>
    <w:p>
      <w:pPr>
        <w:pStyle w:val="Eq"/>
      </w:pPr>
      <w:r>
        <w:rPr>
          <w:rFonts w:ascii="Times New Roman" w:hAnsi="Times New Roman" w:eastAsia="Times New Roman"/>
          <w:i/>
          <w:sz w:val="28"/>
        </w:rPr>
        <w:t>rᵢ → aᵢ → tₖ → oₖ → cₖ,</w:t>
      </w:r>
    </w:p>
    <w:p>
      <w:pPr>
        <w:jc w:val="both"/>
      </w:pPr>
      <w:r>
        <w:rPr>
          <w:rFonts w:ascii="Times New Roman" w:hAnsi="Times New Roman" w:eastAsia="Times New Roman"/>
          <w:sz w:val="28"/>
        </w:rPr>
        <w:t>де aᵢ — критерій приймання або вимірюваний критерій вимоги; tₖ — тестовий випадок чи експериментальна процедура; oₖ — спостережуваний результат; cₖ — нормований результат перевірки відповідності. Така структура принципово важлива: без зв’язку із вимогою результат тесту є лише локальним технічним спостереженням і не може бути однозначно використаний для оцінювання відповідної характеристики якості.</w:t>
      </w:r>
    </w:p>
    <w:p>
      <w:pPr>
        <w:jc w:val="left"/>
      </w:pPr>
      <w:r>
        <w:rPr>
          <w:rFonts w:ascii="Times New Roman" w:hAnsi="Times New Roman" w:eastAsia="Times New Roman"/>
          <w:sz w:val="28"/>
        </w:rPr>
        <w:t>Таблиця 3.4 – Перехід від вимоги до динамічного свідчення</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Елемент</w:t>
            </w:r>
          </w:p>
        </w:tc>
        <w:tc>
          <w:tcPr>
            <w:tcW w:type="dxa" w:w="238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Зміст</w:t>
            </w:r>
          </w:p>
        </w:tc>
        <w:tc>
          <w:tcPr>
            <w:tcW w:type="dxa" w:w="2494"/>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Роль</w:t>
            </w:r>
          </w:p>
        </w:tc>
        <w:tc>
          <w:tcPr>
            <w:tcW w:type="dxa" w:w="226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Методичне обмеження</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Вимога rᵢ</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Формулювання очікуваної властивості або обмеження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Визначає, що має бути підтверджено</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Вимога без вимірюваного критерію може бути складною для об’єктивної перевірки</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Критерій aᵢ</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Порогове значення, очікувана поведінка, допустимий діапазон або умова</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Перетворює вимогу на перевірюване твердження</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Критерій повинен бути однозначним і контекстно коректним</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Тест/експеримент tₖ</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Процедура, вхідні дані, передумови, середовище</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Створює умови для отримання фактичних даних</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Невідповідне середовище може спотворити результат</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Спостереження oₖ</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Фактичне значення або поведінка системи</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Є первинним динамічним доказом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Потребує повторюваності та фіксації умов</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Відповідність cₖ</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Результат порівняння oₖ з aᵢ</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Показує виконання конкретного критерію</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Спосіб нормування має бути визначений до аналізу результатів</w:t>
            </w:r>
          </w:p>
        </w:tc>
      </w:tr>
      <w:tr>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Агрегований профіль</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Сукупність покриття, спостережень і відповідностей для qⱼ</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Формує Eⱼᵈʸⁿ</w:t>
            </w:r>
          </w:p>
        </w:tc>
        <w:tc>
          <w:tcPr>
            <w:tcW w:type="dxa" w:w="2480"/>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повинен приховувати пропущені вимоги або нестачу даних</w:t>
            </w:r>
          </w:p>
        </w:tc>
      </w:tr>
    </w:tbl>
    <w:p/>
    <w:p>
      <w:pPr>
        <w:jc w:val="both"/>
      </w:pPr>
      <w:r>
        <w:rPr>
          <w:rFonts w:ascii="Times New Roman" w:hAnsi="Times New Roman" w:eastAsia="Times New Roman"/>
          <w:sz w:val="28"/>
        </w:rPr>
        <w:t>Формування динамічного свідчення починається не з вибору інструмента тестування, а з аналізу вимоги. Якщо вимога містить вимірюваний критерій, наприклад верхню межу часу відгуку, максимальний час відновлення або очікуваний результат функціональної операції, тест може бути спроєктований безпосередньо навколо цього критерію. Якщо ж вимога сформульована як “система повинна бути швидкою”, “зручною” або “надійною”, відсутність операціоналізації, виявлена у 2.1–2.3, проявляється вже як методичне обмеження динамічної перевірки. Отже, здатність побудувати коректний тест є одночасно непрямим підтвердженням перевірюваності вимоги.</w:t>
      </w:r>
    </w:p>
    <w:p>
      <w:pPr>
        <w:jc w:val="both"/>
      </w:pPr>
      <w:r>
        <w:rPr>
          <w:rFonts w:ascii="Times New Roman" w:hAnsi="Times New Roman" w:eastAsia="Times New Roman"/>
          <w:sz w:val="28"/>
        </w:rPr>
        <w:t>Для формалізації трасування між вимогами і тестами введемо матрицю H = [hᵢₖ], де hᵢₖ = 1, якщо тест tₖ перевіряє вимогу rᵢ, і hᵢₖ = 0 в іншому випадку. Матриця H є динамічним продовженням графа трасування T із 3.1 та дає змогу відрізняти відсутність тестового покриття від негативного результату виконаного тесту. Для характеристики qⱼ, якій відповідає множина вимог Rⱼ, коефіцієнт покриття тестами визначається як частка вимог, для яких існує принаймні один пов’язаний тест:</w:t>
      </w:r>
    </w:p>
    <w:p>
      <w:pPr>
        <w:pStyle w:val="Eq"/>
      </w:pPr>
      <w:r>
        <w:rPr>
          <w:rFonts w:ascii="Times New Roman" w:hAnsi="Times New Roman" w:eastAsia="Times New Roman"/>
          <w:i/>
          <w:sz w:val="28"/>
        </w:rPr>
        <w:t>covⱼᵗᵉˢᵗ = |{rᵢ ∈ Rⱼ : ∃ tₖ, hᵢₖ = 1}| / |Rⱼ|.</w:t>
      </w:r>
    </w:p>
    <w:p>
      <w:pPr>
        <w:jc w:val="both"/>
      </w:pPr>
      <w:r>
        <w:rPr>
          <w:rFonts w:ascii="Times New Roman" w:hAnsi="Times New Roman" w:eastAsia="Times New Roman"/>
          <w:sz w:val="28"/>
        </w:rPr>
        <w:t>Показник covⱼᵗᵉˢᵗ не є оцінкою фактичної якості: значення 1 означає лише повне трасувальне покриття вимог тестами. Саме розділення “покрито/не покрито” та “виконано/не виконано” є принциповим, оскільки високий відсоток успішних тестів при низькому покритті може створювати хибне враження високої відповідності.</w:t>
      </w:r>
    </w:p>
    <w:p>
      <w:pPr>
        <w:jc w:val="both"/>
      </w:pPr>
      <w:r>
        <w:rPr>
          <w:rFonts w:ascii="Times New Roman" w:hAnsi="Times New Roman" w:eastAsia="Times New Roman"/>
          <w:sz w:val="28"/>
        </w:rPr>
        <w:t>Для кожного тесту tₖ результат виконання oₖ порівнюється з критерієм, визначеним до початку оцінювання. У найпростішому випадку, коли вимога є бінарно перевірюваною, cₖ ∈ {0,1}: одиниця означає виконання критерію, нуль — невиконання. Для кількісних вимог можливе використання неперервної шкали cₖ ∈ [0,1], але функція перетворення повинна бути визначена в паспорті метрики або критерії приймання. Універсальна функція нормування для різних характеристик не вводиться, оскільки перевищення часу відгуку, недоступність сервісу та невиконання security-критерію мають різну семантику і різну критичність.</w:t>
      </w:r>
    </w:p>
    <w:p>
      <w:pPr>
        <w:jc w:val="both"/>
      </w:pPr>
      <w:r>
        <w:rPr>
          <w:rFonts w:ascii="Times New Roman" w:hAnsi="Times New Roman" w:eastAsia="Times New Roman"/>
          <w:sz w:val="28"/>
        </w:rPr>
        <w:t>Якщо одну вимогу перевіряють кілька тестів, спочатку доцільно сформувати оцінку відповідності на рівні вимоги vᵢ, а вже потім агрегувати вимоги у межах qⱼ. Такий порядок зменшує викривлення, за якого вимога з десятками тестів отримує непропорційно велику вагу порівняно з вимогою, яку перевіряє один достатній тест. Позначимо множину тестів, пов’язаних з rᵢ, через Tᵢ = {tₖ : hᵢₖ = 1}. Тоді:</w:t>
      </w:r>
    </w:p>
    <w:p>
      <w:pPr>
        <w:pStyle w:val="Eq"/>
      </w:pPr>
      <w:r>
        <w:rPr>
          <w:rFonts w:ascii="Times New Roman" w:hAnsi="Times New Roman" w:eastAsia="Times New Roman"/>
          <w:i/>
          <w:sz w:val="28"/>
        </w:rPr>
        <w:t>vᵢ = Aggᵢ({cₖ : tₖ ∈ Tᵢ}),</w:t>
      </w:r>
    </w:p>
    <w:p>
      <w:pPr>
        <w:jc w:val="both"/>
      </w:pPr>
      <w:r>
        <w:rPr>
          <w:rFonts w:ascii="Times New Roman" w:hAnsi="Times New Roman" w:eastAsia="Times New Roman"/>
          <w:sz w:val="28"/>
        </w:rPr>
        <w:t>де Aggᵢ — заздалегідь визначене правило агрегування. Для критичних вимог таким правилом може бути мінімум, якщо невиконання будь-якого обов’язкового сценарію означає невиконання вимоги; для набору взаємозамінних сценаріїв може використовуватися інше правило. Вибір Aggᵢ є частиною специфікації перевірки, а не довільним кроком після отримання результатів.</w:t>
      </w:r>
    </w:p>
    <w:p>
      <w:pPr>
        <w:jc w:val="left"/>
      </w:pPr>
      <w:r>
        <w:rPr>
          <w:rFonts w:ascii="Times New Roman" w:hAnsi="Times New Roman" w:eastAsia="Times New Roman"/>
          <w:sz w:val="28"/>
        </w:rPr>
        <w:t>Таблиця 3.5 – Динамічні спостереження для характеристик якості програмного продукту</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53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4"/>
              </w:rPr>
              <w:t>Характеристика</w:t>
            </w:r>
          </w:p>
        </w:tc>
        <w:tc>
          <w:tcPr>
            <w:tcW w:type="dxa" w:w="192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4"/>
              </w:rPr>
              <w:t>Спостереження</w:t>
            </w:r>
          </w:p>
        </w:tc>
        <w:tc>
          <w:tcPr>
            <w:tcW w:type="dxa" w:w="1984"/>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4"/>
              </w:rPr>
              <w:t>Динамічна процедура</w:t>
            </w:r>
          </w:p>
        </w:tc>
        <w:tc>
          <w:tcPr>
            <w:tcW w:type="dxa" w:w="192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4"/>
              </w:rPr>
              <w:t>Що підтверджується</w:t>
            </w:r>
          </w:p>
        </w:tc>
        <w:tc>
          <w:tcPr>
            <w:tcW w:type="dxa" w:w="170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4"/>
              </w:rPr>
              <w:t>Обмеження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Функціональна придатність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Фактичний результат функції, повнота виконання сценарію</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Функціональні та сценарні тести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Виконання функціональних критеріїв</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Не підтверджує автоматично інші характеристики якості</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Продуктивність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Час відгуку, throughput, використання ресурсів під навантаженням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Performance/load/stress експерименти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Виконання кількісних performance-вимог</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Сильно залежить від середовища та профілю навантаження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Сумісність / взаємодія</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Успішність обміну, коректність протоколів/форматів</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Інтеграційні та interoperability-тести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Фактична взаємодія із системами й компонентами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Потрібні репрезентативні зовнішні системи або емулятори</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Надійність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Частота відмов, відновлення, поведінка при fault injection</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Тривалі, відмовні, recovery-тести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Спостережувана стійкість і відновлюваність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Рідкі події потребують достатньої тривалості/кількості випробувань</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Безпека</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Результати перевірок механізмів захисту та сценаріїв атак</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Security verification, dynamic security testing</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Виконання конкретних security-критеріїв</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Відсутність знайденої вразливості не доводить абсолютну безпеку</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Зручність взаємодії</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Час виконання задач, помилки користувача, успішність сценаріїв</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Usability tests з репрезентативними користувачами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Виконання критеріїв взаємодії</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Залежить від вибірки користувачів і контексту використання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Гнучкість / переносимість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Результат роботи в цільових конфігураціях, час/успішність адаптації</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Configuration/platform tests</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Фактична адаптованість до заданих середовищ</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4"/>
              </w:rPr>
              <w:t>Покриття залежить від набору конфігурацій</w:t>
            </w:r>
          </w:p>
        </w:tc>
      </w:tr>
    </w:tbl>
    <w:p/>
    <w:p>
      <w:pPr>
        <w:jc w:val="both"/>
      </w:pPr>
      <w:r>
        <w:rPr>
          <w:rFonts w:ascii="Times New Roman" w:hAnsi="Times New Roman" w:eastAsia="Times New Roman"/>
          <w:sz w:val="28"/>
        </w:rPr>
        <w:t>Кількісні спостереження мають формуватися з урахуванням вимог до відтворюваності. ISO/IEC 25023:2016 визначає міри для кількісного оцінювання якості програмного продукту [9], а ISO/IEC 25040:2024 задає загальну рамку процесу оцінювання якості ICT-продуктів, включаючи програмні продукти [11]. Оскільки ISO/IEC 25023:2016 передує оновленій продуктовій моделі ISO/IEC 25010:2023 [4], у роботі конкретна відповідність міри актуальній характеристиці фіксується явно, а не припускається автоматично.</w:t>
      </w:r>
    </w:p>
    <w:p>
      <w:pPr>
        <w:jc w:val="both"/>
      </w:pPr>
      <w:r>
        <w:rPr>
          <w:rFonts w:ascii="Times New Roman" w:hAnsi="Times New Roman" w:eastAsia="Times New Roman"/>
          <w:sz w:val="28"/>
        </w:rPr>
        <w:t>Для часових і ресурсних показників одиничне спостереження часто недостатнє. Нехай для критерію aᵢ проведено n повторних виконань і отримано значення oᵢ¹, …, oᵢⁿ. Залежно від природи вимоги можуть використовуватися середнє, медіана, визначений перцентиль, частка перевищень порога або інша статистика. Вибір статистики визначається змістом вимоги. Наприклад, вимога “95 % запитів мають завершуватися не довше 2 с” повинна перевіряти саме відповідний розподільний критерій, а не середній час відповіді.</w:t>
      </w:r>
    </w:p>
    <w:p>
      <w:pPr>
        <w:jc w:val="both"/>
      </w:pPr>
      <w:r>
        <w:rPr>
          <w:rFonts w:ascii="Times New Roman" w:hAnsi="Times New Roman" w:eastAsia="Times New Roman"/>
          <w:sz w:val="28"/>
        </w:rPr>
        <w:t>Умови виконання повинні входити до динамічного доказу. Для кожного спостереження необхідно фіксувати конфігурацію програмного продукту, версію, апаратне і програмне середовище, профіль навантаження, тестові дані та інші фактори, здатні вплинути на результат. Позначимо вектор умов через eₖ. Тоді динамічне спостереження доцільно подавати не як oₖ, а як пару (oₖ, eₖ). Це дозволяє уникати некоректного порівняння результатів, отриманих у різних середовищах.</w:t>
      </w:r>
    </w:p>
    <w:p>
      <w:pPr>
        <w:jc w:val="both"/>
      </w:pPr>
      <w:r>
        <w:rPr>
          <w:rFonts w:ascii="Times New Roman" w:hAnsi="Times New Roman" w:eastAsia="Times New Roman"/>
          <w:sz w:val="28"/>
        </w:rPr>
        <w:t>ISO/IEC/IEEE 29119-3:2021 визначає шаблони тестової документації, що є результатом процесів ISO/IEC/IEEE 29119-2 [41]. Для дисертаційного методу важливим є не конкретний шаблон документа, а принцип відтворюваності: тестовий базис, умови, очікувані результати, фактичні результати та відхилення мають бути задокументовані настільки, щоб інший дослідник або команда могли повторити перевірку.</w:t>
      </w:r>
    </w:p>
    <w:p>
      <w:pPr>
        <w:jc w:val="both"/>
      </w:pPr>
      <w:r>
        <w:rPr>
          <w:rFonts w:ascii="Times New Roman" w:hAnsi="Times New Roman" w:eastAsia="Times New Roman"/>
          <w:sz w:val="28"/>
        </w:rPr>
        <w:t>У запропонованій схемі доцільно розрізняти два рівні використання динамічних результатів. На рівні відповідності специфікації перевіряється, чи реалізований продукт задовольняє формалізовані критерії вимог. На рівні валідації оцінюється, чи релевантні самі критерії та поведінка системи фактичним потребам і контексту використання. Таке розрізнення важливе для інтерпретації: система може формально виконати некоректно встановлену вимогу, тому позитивний test result не усуває ризику помилки вихідної специфікації.</w:t>
      </w:r>
    </w:p>
    <w:p>
      <w:pPr>
        <w:jc w:val="both"/>
      </w:pPr>
      <w:r>
        <w:rPr>
          <w:rFonts w:ascii="Times New Roman" w:hAnsi="Times New Roman" w:eastAsia="Times New Roman"/>
          <w:sz w:val="28"/>
        </w:rPr>
        <w:t>Для характеристики qⱼ сформуємо динамічний профіль як сукупність п’яти компонентів: Cⱼᵗᵉˢᵗ — показники тестового покриття і трасування; Oⱼ — вектор фактичних спостережень; Vⱼ — відповідності на рівні вимог; Uⱼ — інформація про повторюваність, варіативність або невизначеність вимірювань; Bⱼᵈʸⁿ — маска доступності динамічних даних. Тоді:</w:t>
      </w:r>
    </w:p>
    <w:p>
      <w:pPr>
        <w:pStyle w:val="Eq"/>
      </w:pPr>
      <w:r>
        <w:rPr>
          <w:rFonts w:ascii="Times New Roman" w:hAnsi="Times New Roman" w:eastAsia="Times New Roman"/>
          <w:i/>
          <w:sz w:val="28"/>
        </w:rPr>
        <w:t>Eⱼᵈʸⁿ = (Cⱼᵗᵉˢᵗ, Oⱼ, Vⱼ, Uⱼ, Bⱼᵈʸⁿ).</w:t>
      </w:r>
    </w:p>
    <w:p>
      <w:pPr>
        <w:jc w:val="both"/>
      </w:pPr>
      <w:r>
        <w:rPr>
          <w:rFonts w:ascii="Times New Roman" w:hAnsi="Times New Roman" w:eastAsia="Times New Roman"/>
          <w:sz w:val="28"/>
        </w:rPr>
        <w:t>Як і для Eⱼˢᵗᵃᵗ, відсутні дані не прирівнюються до негативного результату. Якщо продукт ще не реалізовано, Bⱼᵈʸⁿ фіксує недоступність динамічного каналу; рання оцінка формується на основі статичних і вимогових ознак. Після появи виконуваної версії Eⱼᵈʸⁿ може використовуватися для перевірки раннього прогнозу та поступового оновлення доказової бази.</w:t>
      </w:r>
    </w:p>
    <w:p>
      <w:pPr>
        <w:jc w:val="left"/>
      </w:pPr>
      <w:r>
        <w:rPr>
          <w:rFonts w:ascii="Times New Roman" w:hAnsi="Times New Roman" w:eastAsia="Times New Roman"/>
          <w:sz w:val="28"/>
        </w:rPr>
        <w:t>Таблиця 3.6 – Структура динамічного доказового профілю Eⱼᵈʸⁿ</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247"/>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Компонент</w:t>
            </w:r>
          </w:p>
        </w:tc>
        <w:tc>
          <w:tcPr>
            <w:tcW w:type="dxa" w:w="226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Зміст</w:t>
            </w:r>
          </w:p>
        </w:tc>
        <w:tc>
          <w:tcPr>
            <w:tcW w:type="dxa" w:w="2041"/>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Джерело</w:t>
            </w:r>
          </w:p>
        </w:tc>
        <w:tc>
          <w:tcPr>
            <w:tcW w:type="dxa" w:w="2268"/>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Інтерпретація</w:t>
            </w:r>
          </w:p>
        </w:tc>
        <w:tc>
          <w:tcPr>
            <w:tcW w:type="dxa" w:w="1587"/>
            <w:vAlign w:val="center"/>
            <w:tcMar>
              <w:top w:w="65" w:type="dxa"/>
              <w:left w:w="65" w:type="dxa"/>
              <w:bottom w:w="65" w:type="dxa"/>
              <w:right w:w="65" w:type="dxa"/>
            </w:tcMar>
          </w:tcPr>
          <w:p>
            <w:pPr>
              <w:spacing w:line="240" w:lineRule="auto" w:before="0" w:after="0"/>
              <w:jc w:val="center"/>
            </w:pPr>
            <w:r/>
            <w:r>
              <w:rPr>
                <w:rFonts w:ascii="Times New Roman" w:hAnsi="Times New Roman" w:eastAsia="Times New Roman"/>
                <w:b/>
                <w:sz w:val="16"/>
              </w:rPr>
              <w:t>Обмеження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Cⱼᵗᵉˢᵗ</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Трасувальне і тестове покриття вимог qⱼ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H, перелік тестів, Rⱼ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Чи достатньо повно характеристика представлена у перевірках</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показує успішність виконання</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Oⱼ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Фактичні спостережувані значення</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Логи тестів, вимірювання, експерименти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Поведінка продукту у зафіксованих умовах</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Контекстно залежить від eₖ</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Vⱼ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Оцінки виконання критеріїв на рівні вимог</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cₖ, правила Aᵢ</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Ступінь відповідності реалізації формалізованим вимогам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Залежить від якості самих критеріїв</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Uⱼ</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Варіативність, повторюваність, невизначеність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Повторні запуски, статистики, похибки</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Надійність динамічного висновку</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Не завжди доступна для одиничних тестів</w:t>
            </w:r>
          </w:p>
        </w:tc>
      </w:tr>
      <w:tr>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Bⱼᵈʸⁿ</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Маска доступності каналів/вимірювань</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Стан артефактів і тестів</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Запобігає підміні відсутності даних нульовою якістю</w:t>
            </w:r>
          </w:p>
        </w:tc>
        <w:tc>
          <w:tcPr>
            <w:tcW w:type="dxa" w:w="1984"/>
            <w:vAlign w:val="center"/>
            <w:tcMar>
              <w:top w:w="65" w:type="dxa"/>
              <w:left w:w="65" w:type="dxa"/>
              <w:bottom w:w="65" w:type="dxa"/>
              <w:right w:w="65" w:type="dxa"/>
            </w:tcMar>
          </w:tcPr>
          <w:p>
            <w:pPr>
              <w:spacing w:line="240" w:lineRule="auto" w:before="0" w:after="0"/>
              <w:jc w:val="left"/>
            </w:pPr>
            <w:r/>
            <w:r>
              <w:rPr>
                <w:rFonts w:ascii="Times New Roman" w:hAnsi="Times New Roman" w:eastAsia="Times New Roman"/>
                <w:b w:val="0"/>
                <w:sz w:val="16"/>
              </w:rPr>
              <w:t>Потребує збереження при агрегації</w:t>
            </w:r>
          </w:p>
        </w:tc>
      </w:tr>
    </w:tbl>
    <w:p/>
    <w:p>
      <w:pPr>
        <w:jc w:val="both"/>
      </w:pPr>
      <w:r>
        <w:rPr>
          <w:rFonts w:ascii="Times New Roman" w:hAnsi="Times New Roman" w:eastAsia="Times New Roman"/>
          <w:sz w:val="28"/>
        </w:rPr>
        <w:t>Для експериментальної перевірки методу необхідно пов’язати ранню прогнозну оцінку з фактичними результатами. Нехай ŷⱼ — оцінка характеристики qⱼ, сформована на основі вимог і доступних ранніх свідчень, а yⱼ — цільова або фактична оцінка, отримана після реалізації на основі заздалегідь визначеної процедури агрегації динамічного профілю. Тоді похибка прогнозу може бути записана як:</w:t>
      </w:r>
    </w:p>
    <w:p>
      <w:pPr>
        <w:pStyle w:val="Eq"/>
      </w:pPr>
      <w:r>
        <w:rPr>
          <w:rFonts w:ascii="Times New Roman" w:hAnsi="Times New Roman" w:eastAsia="Times New Roman"/>
          <w:i/>
          <w:sz w:val="28"/>
        </w:rPr>
        <w:t>εⱼ = yⱼ − ŷⱼ.</w:t>
      </w:r>
    </w:p>
    <w:p>
      <w:pPr>
        <w:jc w:val="both"/>
      </w:pPr>
      <w:r>
        <w:rPr>
          <w:rFonts w:ascii="Times New Roman" w:hAnsi="Times New Roman" w:eastAsia="Times New Roman"/>
          <w:sz w:val="28"/>
        </w:rPr>
        <w:t>Саме визначення yⱼ не повинно бути довільним. Воно має спиратися на продуктну характеристику, її підхарактеристики, конкретні вимоги Rⱼ, вимірювані критерії та правила агрегації, зафіксовані до аналізу результатів. У Розділі 5 для набору проєктів або версій системи такі yⱼ використовуватимуться як фактичні цільові значення для перевірки гіпотез H1–H4 і оцінювання точності методу. Метрики похибки для вибірки — MAE, RMSE, кореляційні або рангові показники — доцільно визначати вже в експериментальній методиці, а не у цьому підрозділі.</w:t>
      </w:r>
    </w:p>
    <w:p>
      <w:pPr>
        <w:jc w:val="both"/>
      </w:pPr>
      <w:r>
        <w:rPr>
          <w:rFonts w:ascii="Times New Roman" w:hAnsi="Times New Roman" w:eastAsia="Times New Roman"/>
          <w:sz w:val="28"/>
        </w:rPr>
        <w:t>Порівняння ŷⱼ та yⱼ має здійснюватися лише за узгодженої семантики. Якщо рання оцінка стосується, наприклад, продуктивності як характеристики в цілому, а динамічне спостереження містить лише один час відгуку для одного сценарію, це спостереження не може автоматично вважатися повною фактичною оцінкою qⱼ. Саме тому Eⱼᵈʸⁿ зберігає покриття, окремі спостереження та відповідності, а перехід до yⱼ виконується окремою, прозорою процедурою.</w:t>
      </w:r>
    </w:p>
    <w:p>
      <w:pPr>
        <w:jc w:val="both"/>
      </w:pPr>
      <w:r>
        <w:rPr>
          <w:rFonts w:ascii="Times New Roman" w:hAnsi="Times New Roman" w:eastAsia="Times New Roman"/>
          <w:sz w:val="28"/>
        </w:rPr>
        <w:t>Практична процедура формування Eⱼᵈʸⁿ складається з восьми кроків. На першому кроці вибирається характеристика qⱼ і релевантні вимоги Rⱼ. На другому для кожної застосовної вимоги перевіряється наявність вимірюваного критерію aᵢ; дефіцит критеріїв повертається як ризик до вимогового профілю. На третьому проєктуються або відбираються тести tₖ та формується матриця H. На четвертому обчислюється covⱼᵗᵉˢᵗ і перевіряється достатність покриття. На п’ятому фіксуються середовище й умови eₖ та виконуються тести. На шостому формуються oₖ і cₖ, після чого результати агрегуються на рівні вимог vᵢ. На сьомому для повторних вимірювань оцінюються варіативність і надійність. На восьмому формується Eⱼᵈʸⁿ разом із журналом відхилень і відкритих ризиків.</w:t>
      </w:r>
    </w:p>
    <w:p>
      <w:pPr>
        <w:jc w:val="both"/>
      </w:pPr>
      <w:r>
        <w:rPr>
          <w:rFonts w:ascii="Times New Roman" w:hAnsi="Times New Roman" w:eastAsia="Times New Roman"/>
          <w:sz w:val="28"/>
        </w:rPr>
        <w:t>Важливо, що динамічні методи у цій схемі не обмежуються поняттям “тест пройдено/не пройдено”. Для кількісних характеристик вони забезпечують вимірювальний канал; для функціональних вимог — канал підтвердження поведінки; для властивостей із високою контекстною залежністю — канал спостереження у визначеному сценарії використання. Усі результати зберігають посилання на вимогу і характеристику qⱼ, тому можуть бути використані не лише для приймання продукту, а й для дослідження зв’язку між якістю вимог та фактичною продуктовою якістю.</w:t>
      </w:r>
    </w:p>
    <w:p>
      <w:pPr>
        <w:jc w:val="both"/>
      </w:pPr>
      <w:r>
        <w:rPr>
          <w:rFonts w:ascii="Times New Roman" w:hAnsi="Times New Roman" w:eastAsia="Times New Roman"/>
          <w:sz w:val="28"/>
        </w:rPr>
        <w:t>Таким чином, результатом підрозділу є формалізований динамічний доказовий профіль Eⱼᵈʸⁿ = (Cⱼᵗᵉˢᵗ, Oⱼ, Vⱼ, Uⱼ, Bⱼᵈʸⁿ) та процедура його формування з вимог і виконуваного продукту. Разом зі статичним профілем Eⱼˢᵗᵃᵗ він створює два взаємодоповнювальні канали інформації. Статичний канал забезпечує раннє виявлення ризиків і прогнозні ознаки, динамічний — фактичне спостереження і перевірку відповідності. У підрозділі 3.3 ці канали та метричний опис Zⱼ буде використано для побудови власне методу оцінювання якості програмного забезпечення на основі вимог і специфікацій.</w:t>
      </w:r>
    </w:p>
    <w:p>
      <w:pPr>
        <w:pStyle w:val="Heading1"/>
      </w:pPr>
      <w:r>
        <w:t>Список джерел до підрозділу 3.2</w:t>
      </w:r>
    </w:p>
    <w:p>
      <w:r>
        <w:t>4. ISO/IEC 25010:2023. Systems and software engineering — Systems and software Quality Requirements and Evaluation (SQuaRE) — Product quality model. Geneva: ISO, 2023.</w:t>
      </w:r>
    </w:p>
    <w:p>
      <w:r>
        <w:t>9. ISO/IEC 25023:2016. Systems and software engineering — Systems and software Quality Requirements and Evaluation (SQuaRE) — Measurement of system and software product quality. Geneva: ISO, 2016.</w:t>
      </w:r>
    </w:p>
    <w:p>
      <w:r>
        <w:t>11. ISO/IEC 25040:2024. Systems and software engineering — Systems and software Quality Requirements and Evaluation (SQuaRE) — Quality evaluation framework. Geneva: ISO, 2024.</w:t>
      </w:r>
    </w:p>
    <w:p>
      <w:r>
        <w:t>12. ISO/IEC/IEEE 29119-1:2022. Software and systems engineering — Software testing — Part 1: General concepts. Geneva: ISO, 2022.</w:t>
      </w:r>
    </w:p>
    <w:p>
      <w:r>
        <w:t>40. ISO/IEC/IEEE 29119-2:2021. Software and systems engineering — Software testing — Part 2: Test processes. Geneva: ISO, 2021.</w:t>
      </w:r>
    </w:p>
    <w:p>
      <w:r>
        <w:t>41. ISO/IEC/IEEE 29119-3:2021. Software and systems engineering — Software testing — Part 3: Test documentation. Geneva: ISO, 2021.</w:t>
      </w:r>
    </w:p>
    <w:p>
      <w:r>
        <w:t>42. ISO/IEC/IEEE 29119-4:2021. Software and systems engineering — Software testing — Part 4: Test techniques. Geneva: ISO, 2021.</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