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3.3. Метод оцінювання якості програмного забезпечення на основі системи метрик вимог і специфікацій</w:t>
      </w:r>
    </w:p>
    <w:p>
      <w:pPr>
        <w:jc w:val="both"/>
      </w:pPr>
      <w:r>
        <w:rPr>
          <w:rFonts w:ascii="Times New Roman" w:hAnsi="Times New Roman" w:eastAsia="Times New Roman"/>
          <w:sz w:val="28"/>
        </w:rPr>
        <w:t>У підрозділі 2.3 сформовано інформаційно-метричний опис Zⱼ = (Mⱼ, Bⱼ, Relⱼ, C), який характеризує вимоги, їх доступність, надійність автоматизованого видобування та контекст проєкту. У підрозділах 3.1 і 3.2 цей опис доповнено двома каналами свідчень: статичним профілем Eⱼˢᵗᵃᵗ та динамічним профілем Eⱼᵈʸⁿ. Завдання підрозділу 3.3 полягає у визначенні єдиної процедури, яка перетворює ці різнорідні дані на оцінку характеристики якості програмного продукту qⱼ, одночасно зберігаючи інформацію про достатність доказів та причини отриманого результату.</w:t>
      </w:r>
    </w:p>
    <w:p>
      <w:pPr>
        <w:jc w:val="both"/>
      </w:pPr>
      <w:r>
        <w:rPr>
          <w:rFonts w:ascii="Times New Roman" w:hAnsi="Times New Roman" w:eastAsia="Times New Roman"/>
          <w:sz w:val="28"/>
        </w:rPr>
        <w:t>Запропонований метод не ґрунтується на припущенні про існування універсальної фіксованої ваги кожної метрики. Це випливає з результатів другого розділу: значущість ознак залежить від характеристики qⱼ, типу програмної системи, повноти специфікації, доступності артефактів і контексту C. Тому фіксація коефіцієнтів до експериментальної перевірки створила б ризик суб’єктивного агрегування. Метод визначає послідовність підготовки, відбору, комбінування та інтерпретації ознак, а параметри прогнозної функції F̂ⱼ мають калібруватися на історичних або експериментальних даних.</w:t>
      </w:r>
    </w:p>
    <w:p>
      <w:pPr>
        <w:jc w:val="both"/>
      </w:pPr>
      <w:r>
        <w:rPr>
          <w:rFonts w:ascii="Times New Roman" w:hAnsi="Times New Roman" w:eastAsia="Times New Roman"/>
          <w:sz w:val="28"/>
        </w:rPr>
        <w:t>У методі розрізняються два режими використання. Перший — ранній прогнозний режим, коли виконувана система ще відсутня або динамічних даних недостатньо. У цьому випадку оцінка формується з Zⱼ та доступних статичних свідчень Eⱼˢᵗᵃᵗ. Другий — уточнювально-валідаційний режим, коли з’являється виконувана версія і формується Eⱼᵈʸⁿ. Динамічні дані не повинні ретроспективно маскувати помилки раннього прогнозу; вони використовуються для перевірки, калібрування та, за потреби, оновлення поточної оцінки.</w:t>
      </w:r>
    </w:p>
    <w:p>
      <w:pPr>
        <w:pStyle w:val="Eq"/>
      </w:pPr>
      <w:r>
        <w:rPr>
          <w:rFonts w:ascii="Times New Roman" w:hAnsi="Times New Roman" w:eastAsia="Times New Roman"/>
          <w:i/>
          <w:sz w:val="28"/>
        </w:rPr>
        <w:t>ŷⱼᴱ = F̂ⱼᴱ(Zⱼ, Eⱼˢᵗᵃᵗ),</w:t>
      </w:r>
    </w:p>
    <w:p>
      <w:pPr>
        <w:pStyle w:val="Eq"/>
      </w:pPr>
      <w:r>
        <w:rPr>
          <w:rFonts w:ascii="Times New Roman" w:hAnsi="Times New Roman" w:eastAsia="Times New Roman"/>
          <w:i/>
          <w:sz w:val="28"/>
        </w:rPr>
        <w:t>ŷⱼᵁ = F̂ⱼᵁ(Zⱼ, Eⱼˢᵗᵃᵗ, Eⱼᵈʸⁿ),</w:t>
      </w:r>
    </w:p>
    <w:p>
      <w:pPr>
        <w:jc w:val="both"/>
      </w:pPr>
      <w:r>
        <w:rPr>
          <w:rFonts w:ascii="Times New Roman" w:hAnsi="Times New Roman" w:eastAsia="Times New Roman"/>
          <w:sz w:val="28"/>
        </w:rPr>
        <w:t>де ŷⱼᴱ — рання прогнозна оцінка; ŷⱼᵁ — уточнена оцінка після появи динамічних свідчень; F̂ⱼᴱ та F̂ⱼᵁ — калібровані процедури оцінювання для відповідних режимів. Розділення режимів потрібне для методичної чистоти: порівняння ŷⱼᴱ із фактичним yⱼ повинно відображати здатність вимог і статичних артефактів передбачати майбутню якість, а не результат, до якого вже включено самі фактичні тестові дані.</w:t>
      </w:r>
    </w:p>
    <w:p>
      <w:pPr>
        <w:jc w:val="left"/>
      </w:pPr>
      <w:r>
        <w:rPr>
          <w:rFonts w:ascii="Times New Roman" w:hAnsi="Times New Roman" w:eastAsia="Times New Roman"/>
          <w:sz w:val="28"/>
        </w:rPr>
        <w:t>Таблиця 3.7 – Вхідні компоненти методу та їх роль</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814"/>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Компонент</w:t>
            </w:r>
          </w:p>
        </w:tc>
        <w:tc>
          <w:tcPr>
            <w:tcW w:type="dxa" w:w="2494"/>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Зміст</w:t>
            </w:r>
          </w:p>
        </w:tc>
        <w:tc>
          <w:tcPr>
            <w:tcW w:type="dxa" w:w="238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Роль у методі</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Обмеження</w:t>
            </w:r>
          </w:p>
        </w:tc>
      </w:tr>
      <w:tr>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Zⱼ = (Mⱼ, Bⱼ, Relⱼ, C)</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Метрики вимог і специфікацій, застосовність, надійність детекторів, контекст</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Базовий вхід раннього прогнозу</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Доступний від етапу формування/аналізу вимог</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Eⱼˢᵗᵃᵗ</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Свідчення з вимог, трасування, архітектури та коду</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Розширює ранній доказовий профіль</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Канали з’являються поступово; відсутність артефакту не є дефектом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Eⱼᵈʸⁿ</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Покриття тестами, спостереження, відповідності, варіативність</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Валідація та уточнення оцінки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Потребує виконуваної системи та відтворюваних умов</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C</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Тип системи, домен, стадія, обмеження, масштаб та інші контекстні фактори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Запобігає перенесенню коефіцієнтів між несумісними контекстами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всі контекстні ознаки можуть бути однаково доступні</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yⱼ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Фактичне цільове значення характеристики qⱼ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Калібрування і перевірка прогнозу</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Визначається окремою прозорою процедурою після реалізації</w:t>
            </w:r>
          </w:p>
        </w:tc>
      </w:tr>
    </w:tbl>
    <w:p/>
    <w:p>
      <w:pPr>
        <w:jc w:val="both"/>
      </w:pPr>
      <w:r>
        <w:rPr>
          <w:rFonts w:ascii="Times New Roman" w:hAnsi="Times New Roman" w:eastAsia="Times New Roman"/>
          <w:sz w:val="28"/>
        </w:rPr>
        <w:t>Першим етапом методу є приведення різнорідних джерел до канонічного представлення. Позначимо через φʳᵉᑫ(·), φˢᵗᵃᵗ(·) та φᵈʸⁿ(·) процедури перетворення відповідно вимогових, статичних і динамічних свідчень у числові або категоріальні ознаки, придатні для подальшого аналізу. Ці процедури не повинні втрачати посилання на початковий артефакт. Для кожної ознаки зберігаються її джерело, застосовність, напрям інтерпретації, спосіб обчислення та рівень довіри до процедури видобування. Канонізація також виконує дедуплікацію: якщо вимогове або трасувальне свідчення вже представлене метрикою у Mⱼ, його еквівалент із Eⱼʳᵉᑫ або Eⱼᵗʳ зберігається як provenance, але не вводиться до Xⱼ вдруге.</w:t>
      </w:r>
    </w:p>
    <w:p>
      <w:pPr>
        <w:jc w:val="both"/>
      </w:pPr>
      <w:r>
        <w:rPr>
          <w:rFonts w:ascii="Times New Roman" w:hAnsi="Times New Roman" w:eastAsia="Times New Roman"/>
          <w:sz w:val="28"/>
        </w:rPr>
        <w:t>Для раннього режиму формується кандидатний вектор Xⱼᴱ, який включає Mⱼ та лише комплементарні статичні ознаки з Eⱼˢᵗᵃᵗ, що не дублюють уже наявні метрики. Для уточнювального режиму утворюється Xⱼᵁ шляхом додавання ознак з Eⱼᵈʸⁿ. Важливо, що це не проста конкатенація значень із заповненням нулями. Разом з ознаками передаються маски доступності, тому модель може розрізняти фактичне нульове значення від ситуації, коли відповідний артефакт або вимір ще не існує.</w:t>
      </w:r>
    </w:p>
    <w:p>
      <w:pPr>
        <w:pStyle w:val="Eq"/>
      </w:pPr>
      <w:r>
        <w:rPr>
          <w:rFonts w:ascii="Times New Roman" w:hAnsi="Times New Roman" w:eastAsia="Times New Roman"/>
          <w:i/>
          <w:sz w:val="28"/>
        </w:rPr>
        <w:t>Xⱼᴱ = [φʳᵉᑫ(Zⱼ), φˢᵗᵃᵗ(Eⱼˢᵗᵃᵗ)],</w:t>
      </w:r>
    </w:p>
    <w:p>
      <w:pPr>
        <w:pStyle w:val="Eq"/>
      </w:pPr>
      <w:r>
        <w:rPr>
          <w:rFonts w:ascii="Times New Roman" w:hAnsi="Times New Roman" w:eastAsia="Times New Roman"/>
          <w:i/>
          <w:sz w:val="28"/>
        </w:rPr>
        <w:t>Xⱼᵁ = [Xⱼᴱ, φᵈʸⁿ(Eⱼᵈʸⁿ)].</w:t>
      </w:r>
    </w:p>
    <w:p>
      <w:pPr>
        <w:jc w:val="both"/>
      </w:pPr>
      <w:r>
        <w:rPr>
          <w:rFonts w:ascii="Times New Roman" w:hAnsi="Times New Roman" w:eastAsia="Times New Roman"/>
          <w:sz w:val="28"/>
        </w:rPr>
        <w:t>Вектор Xⱼᴱ є основним для перевірки гіпотези про можливість раннього прогнозування. Вектор Xⱼᵁ призначений для поточного контролю та уточнення після появи нових свідчень. Змішування цих двох режимів у єдиній навчальній вибірці без позначення стадії життєвого циклу неприпустиме, оскільки може створити витік інформації з майбутнього у ранній прогноз.</w:t>
      </w:r>
    </w:p>
    <w:p>
      <w:pPr>
        <w:jc w:val="both"/>
      </w:pPr>
      <w:r>
        <w:rPr>
          <w:rFonts w:ascii="Times New Roman" w:hAnsi="Times New Roman" w:eastAsia="Times New Roman"/>
          <w:sz w:val="28"/>
        </w:rPr>
        <w:t>Другий етап полягає у перевірці якості й достатності вхідних даних. Для кожної кандидатної ознаки xₖⱼ вводиться індикатор доступності bₖⱼ ∈ {0,1} та показник надійності relₖⱼ ∈ [0,1]. Значення relₖⱼ може відображати точність автоматизованого детектора, якість трасування, повноту вихідного артефакту або іншу заздалегідь визначену характеристику джерела. Покриття та надійність не об’єднуються в один непрозорий коефіцієнт, оскільки неповна доказова база і низька якість доступних доказів є різними видами невизначеності.</w:t>
      </w:r>
    </w:p>
    <w:p>
      <w:pPr>
        <w:jc w:val="both"/>
      </w:pPr>
      <w:r>
        <w:rPr>
          <w:rFonts w:ascii="Times New Roman" w:hAnsi="Times New Roman" w:eastAsia="Times New Roman"/>
          <w:sz w:val="28"/>
        </w:rPr>
        <w:t>Для оцінювання достатності доказової бази без введення довільних ваг пропонується використовувати середню надійність доступних відібраних ознак. Нехай Kⱼ — множина ознак, що залишилися після етапу відбору. Тоді базовий показник достатності даних визначається як:</w:t>
      </w:r>
    </w:p>
    <w:p>
      <w:pPr>
        <w:pStyle w:val="Eq"/>
      </w:pPr>
      <w:r>
        <w:rPr>
          <w:rFonts w:ascii="Times New Roman" w:hAnsi="Times New Roman" w:eastAsia="Times New Roman"/>
          <w:i/>
          <w:sz w:val="28"/>
        </w:rPr>
        <w:t xml:space="preserve">cⱼᶜᵒᵛ = (Σₖ∈Kⱼᵃᵖᵖ bₖⱼ) / |Kⱼᵃᵖᵖ|,   якщо |Kⱼᵃᵖᵖ| &gt; 0.</w:t>
      </w:r>
    </w:p>
    <w:p>
      <w:pPr>
        <w:pStyle w:val="Eq"/>
      </w:pPr>
      <w:r>
        <w:t xml:space="preserve">cⱼʳᵉˡ = (Σₖ∈Kⱼᵃᵖᵖ bₖⱼ relₖⱼ) / (Σₖ∈Kⱼᵃᵖᵖ bₖⱼ),   якщо Σₖ∈Kⱼᵃᵖᵖ bₖⱼ &gt; 0.</w:t>
      </w:r>
    </w:p>
    <w:p>
      <w:pPr>
        <w:pStyle w:val="Eq"/>
      </w:pPr>
      <w:r>
        <w:t>Cⱼᵈᵃᵗᵃ = (cⱼᶜᵒᵛ, cⱼʳᵉˡ).</w:t>
      </w:r>
    </w:p>
    <w:p>
      <w:pPr>
        <w:jc w:val="both"/>
      </w:pPr>
      <w:r>
        <w:rPr>
          <w:rFonts w:ascii="Times New Roman" w:hAnsi="Times New Roman" w:eastAsia="Times New Roman"/>
          <w:sz w:val="28"/>
        </w:rPr>
        <w:t>Пара Cⱼᵈᵃᵗᵃ = (cⱼᶜᵒᵛ, cⱼʳᵉˡ) не є ймовірністю того, що оцінка правильна. Перший компонент характеризує повноту доступної доказової бази, другий — надійність наявних свідчень. Якщо для Kⱼᵃᵖᵖ немає застосовних ознак або немає жодної доступної ознаки для розрахунку cⱼʳᵉˡ, відповідний компонент має значення NA. Модельна невизначеність uⱼ, якщо її підтримує обрана прогнозна модель, зберігається окремо.</w:t>
      </w:r>
    </w:p>
    <w:p>
      <w:pPr>
        <w:jc w:val="both"/>
      </w:pPr>
      <w:r>
        <w:rPr>
          <w:rFonts w:ascii="Times New Roman" w:hAnsi="Times New Roman" w:eastAsia="Times New Roman"/>
          <w:sz w:val="28"/>
        </w:rPr>
        <w:t>Третім етапом є нормування і підготовка ознак. Параметри нормування визначаються тільки на навчальній частині даних і потім застосовуються до валідаційних та тестових об’єктів. Для ознак із відомими природними межами може використовуватися детерміноване нормування; для статистично залежних від вибірки показників параметри перетворення зберігаються разом із моделлю. Такий порядок запобігає витоку інформації і забезпечує відтворюваність експерименту.</w:t>
      </w:r>
    </w:p>
    <w:p>
      <w:pPr>
        <w:jc w:val="both"/>
      </w:pPr>
      <w:r>
        <w:rPr>
          <w:rFonts w:ascii="Times New Roman" w:hAnsi="Times New Roman" w:eastAsia="Times New Roman"/>
          <w:sz w:val="28"/>
        </w:rPr>
        <w:t>Четвертий етап — відбір інформативних ознак. Оператор відбору Selⱼ(·) повинен зменшувати надлишковість вхідного опису і залишати ознаки, що мають семантичний зв’язок із qⱼ та демонструють стабільну пояснювальну або прогнозну здатність на навчальних даних. Доцільно поєднувати три рівні критеріїв: семантичний — належність до Rⱼ і механізмів S/R/V з 2.2; статистичний — зв’язок із yⱼ; стабільнісний — збереження значущості при зміні підвибірок. Відбір не виконується на остаточній тестовій вибірці.</w:t>
      </w:r>
    </w:p>
    <w:p>
      <w:pPr>
        <w:pStyle w:val="Eq"/>
      </w:pPr>
      <w:r>
        <w:rPr>
          <w:rFonts w:ascii="Times New Roman" w:hAnsi="Times New Roman" w:eastAsia="Times New Roman"/>
          <w:i/>
          <w:sz w:val="28"/>
        </w:rPr>
        <w:t>Xⱼˢᵉˡ = Selⱼ(Xⱼ; 𝒟ᵗʳᵃⁱⁿ).</w:t>
      </w:r>
    </w:p>
    <w:p>
      <w:pPr>
        <w:jc w:val="both"/>
      </w:pPr>
      <w:r>
        <w:rPr>
          <w:rFonts w:ascii="Times New Roman" w:hAnsi="Times New Roman" w:eastAsia="Times New Roman"/>
          <w:sz w:val="28"/>
        </w:rPr>
        <w:t>На цьому етапі не фіксується універсальний поріг кореляції або єдиний алгоритм feature selection. Такі параметри є частиною експериментальної методики і повинні обиратися за результатами порівняння на даних. Методична вимога полягає в тому, щоб процедура відбору була виконана всередині навчального циклу та не використовувала інформацію з майбутніх або тестових об’єктів.</w:t>
      </w:r>
    </w:p>
    <w:p>
      <w:pPr>
        <w:jc w:val="left"/>
      </w:pPr>
      <w:r>
        <w:rPr>
          <w:rFonts w:ascii="Times New Roman" w:hAnsi="Times New Roman" w:eastAsia="Times New Roman"/>
          <w:sz w:val="28"/>
        </w:rPr>
        <w:t>Таблиця 3.8 – Режими роботи запропонованого методу</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0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Режим</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Вхід</w:t>
            </w:r>
          </w:p>
        </w:tc>
        <w:tc>
          <w:tcPr>
            <w:tcW w:type="dxa" w:w="192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Стадія</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Вихід</w:t>
            </w:r>
          </w:p>
        </w:tc>
        <w:tc>
          <w:tcPr>
            <w:tcW w:type="dxa" w:w="192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Основне призначення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Ранній прогнозний</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Zⱼ + доступний Eⱼˢᵗᵃᵗ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До виконуваної версії або за відсутності достатніх тестів</w:t>
            </w:r>
          </w:p>
        </w:tc>
        <w:tc>
          <w:tcPr>
            <w:tcW w:type="dxa" w:w="1984"/>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ŷⱼᴱ, Cⱼᵈᵃᵗᵃ, пояснення, ризики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Перевірка можливості раннього прогнозу</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Проміжний статичний</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Zⱼ + вимоги + трасування + архітектура/код</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У міру появи проєктних артефактів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Оновлена ŷⱼᴱ із позначенням стадії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змішувати оцінки різних стадій без калібрування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Уточнювальний</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Zⱼ + Eⱼˢᵗᵃᵗ + Eⱼᵈʸⁿ</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Після появи виконуваного продукту</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ŷⱼᵁ та відхилення від ранньої оцінки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Поточний контроль і накопичення доказів</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Експериментальна валідація</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Збережене ŷⱼᴱ та незалежно сформоване yⱼ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Після завершення визначеної процедури вимірювання</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εⱼ, статистики похибки для вибірки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включати yⱼ у вхід ранньої моделі</w:t>
            </w:r>
          </w:p>
        </w:tc>
      </w:tr>
    </w:tbl>
    <w:p/>
    <w:p>
      <w:pPr>
        <w:jc w:val="both"/>
      </w:pPr>
      <w:r>
        <w:rPr>
          <w:rFonts w:ascii="Times New Roman" w:hAnsi="Times New Roman" w:eastAsia="Times New Roman"/>
          <w:sz w:val="28"/>
        </w:rPr>
        <w:t>П’ятий етап — калібрування прогнозної функції. У загальному вигляді для кожної характеристики qⱼ визначається параметризована функція Fθⱼ, яка відображає відібраний вектор ознак у нормовану оцінку ŷⱼ ∈ [0,1]:</w:t>
      </w:r>
    </w:p>
    <w:p>
      <w:pPr>
        <w:pStyle w:val="Eq"/>
      </w:pPr>
      <w:r>
        <w:rPr>
          <w:rFonts w:ascii="Times New Roman" w:hAnsi="Times New Roman" w:eastAsia="Times New Roman"/>
          <w:i/>
          <w:sz w:val="28"/>
        </w:rPr>
        <w:t>ŷⱼ = Fθⱼ(Xⱼˢᵉˡ, C).</w:t>
      </w:r>
    </w:p>
    <w:p>
      <w:pPr>
        <w:jc w:val="both"/>
      </w:pPr>
      <w:r>
        <w:rPr>
          <w:rFonts w:ascii="Times New Roman" w:hAnsi="Times New Roman" w:eastAsia="Times New Roman"/>
          <w:sz w:val="28"/>
        </w:rPr>
        <w:t>Параметри θⱼ визначаються тільки з навчальних даних. Конкретний клас Fθⱼ — регресійний, нечіткий, багатокритеріальний, деревоподібний або інший — не слід задавати апріорі як універсальний. Його вибір має ґрунтуватися на розмірі вибірки, типі цільової змінної, вимогах до інтерпретованості та результатах порівняльного експерименту. Для невеликих вибірок перевагу доцільно надавати моделям із контрольованою складністю та прозорою інтерпретацією; складніші моделі виправдані лише за наявності достатніх даних і стабільного виграшу на незалежній перевірці.</w:t>
      </w:r>
    </w:p>
    <w:p>
      <w:pPr>
        <w:jc w:val="both"/>
      </w:pPr>
      <w:r>
        <w:rPr>
          <w:rFonts w:ascii="Times New Roman" w:hAnsi="Times New Roman" w:eastAsia="Times New Roman"/>
          <w:sz w:val="28"/>
        </w:rPr>
        <w:t>Така постановка відокремлює метод від конкретної математичної моделі. Метод задає, які дані використовуються, як забезпечується їх застосовність, як уникнути витоку інформації, як відібрати ознаки, як формувати оцінку та як її пояснювати. Конкретна форма Fθⱼ і параметри взаємозв’язків є предметом моделювання та експериментальної перевірки, що узгоджується з подальшим Розділом 4 про моделі оцінювання.</w:t>
      </w:r>
    </w:p>
    <w:p>
      <w:pPr>
        <w:jc w:val="both"/>
      </w:pPr>
      <w:r>
        <w:rPr>
          <w:rFonts w:ascii="Times New Roman" w:hAnsi="Times New Roman" w:eastAsia="Times New Roman"/>
          <w:sz w:val="28"/>
        </w:rPr>
        <w:t>Шостий етап — формування інтерпретації. Для практичного управління якістю одного числа ŷⱼ недостатньо. Користувач методу повинен отримати відповідь, які властивості вимог або артефактів найбільше вплинули на оцінку і з якими конкретними елементами специфікації вони пов’язані. Тому кожна ознака зберігає трасування до джерела, а пояснення формується як упорядкований перелік факторів, що знижують або підвищують оцінку, разом із відповідними ідентифікаторами вимог, зв’язків, архітектурних рішень чи тестів.</w:t>
      </w:r>
    </w:p>
    <w:p>
      <w:pPr>
        <w:jc w:val="both"/>
      </w:pPr>
      <w:r>
        <w:rPr>
          <w:rFonts w:ascii="Times New Roman" w:hAnsi="Times New Roman" w:eastAsia="Times New Roman"/>
          <w:sz w:val="28"/>
        </w:rPr>
        <w:t>Для моделі, де внесок ознаки не задається безпосередньо, може використовуватися локальний аналіз чутливості. Нехай xₖⱼ — відібрана ознака, а Xⱼˢᵉˡ\{k} — вектор, у якому значення xₖⱼ замінено на базове значення, визначене тільки з навчальних даних. Тоді локальний внесок можна оцінити як:</w:t>
      </w:r>
    </w:p>
    <w:p>
      <w:pPr>
        <w:pStyle w:val="Eq"/>
      </w:pPr>
      <w:r>
        <w:rPr>
          <w:rFonts w:ascii="Times New Roman" w:hAnsi="Times New Roman" w:eastAsia="Times New Roman"/>
          <w:i/>
          <w:sz w:val="28"/>
        </w:rPr>
        <w:t>Δₖⱼ = Fθⱼ(Xⱼˢᵉˡ, C) − Fθⱼ(Xⱼˢᵉˡ\{k}, C).</w:t>
      </w:r>
    </w:p>
    <w:p>
      <w:pPr>
        <w:jc w:val="both"/>
      </w:pPr>
      <w:r>
        <w:rPr>
          <w:rFonts w:ascii="Times New Roman" w:hAnsi="Times New Roman" w:eastAsia="Times New Roman"/>
          <w:sz w:val="28"/>
        </w:rPr>
        <w:t>Величина Δₖⱼ інтерпретується лише як локальна чутливість моделі, а не як доказ причинного впливу. Для пояснення результату відбираються фактори з найбільшими абсолютними значеннями внеску, після чого через збережене трасування вони пов’язуються з конкретними вимогами та знахідками. Це робить результат придатним не тільки для оцінювання, а й для формування практичних рекомендацій щодо покращення специфікації.</w:t>
      </w:r>
    </w:p>
    <w:p>
      <w:pPr>
        <w:jc w:val="both"/>
      </w:pPr>
      <w:r>
        <w:rPr>
          <w:rFonts w:ascii="Times New Roman" w:hAnsi="Times New Roman" w:eastAsia="Times New Roman"/>
          <w:sz w:val="28"/>
        </w:rPr>
        <w:t>Сьомий етап — формування структурованого результату. Для характеристики qⱼ результат методу доцільно представляти не одним числом, а кортежем:</w:t>
      </w:r>
    </w:p>
    <w:p>
      <w:pPr>
        <w:pStyle w:val="Eq"/>
      </w:pPr>
      <w:r>
        <w:rPr>
          <w:rFonts w:ascii="Times New Roman" w:hAnsi="Times New Roman" w:eastAsia="Times New Roman"/>
          <w:i/>
          <w:sz w:val="28"/>
        </w:rPr>
        <w:t>Resultⱼ = (ŷⱼ, Cⱼᵈᵃᵗᵃ, uⱼ, Explⱼ, Riskⱼ, Stage).</w:t>
      </w:r>
    </w:p>
    <w:p>
      <w:pPr>
        <w:jc w:val="both"/>
      </w:pPr>
      <w:r>
        <w:rPr>
          <w:rFonts w:ascii="Times New Roman" w:hAnsi="Times New Roman" w:eastAsia="Times New Roman"/>
          <w:sz w:val="28"/>
        </w:rPr>
        <w:t>Тут ŷⱼ — оцінка якості; Cⱼᵈᵃᵗᵃ = (cⱼᶜᵒᵛ, cⱼʳᵉˡ) — окремі показники покриття й надійності доказів; uⱼ — модельна невизначеність, якщо вона підтримується обраною моделлю; Explⱼ — пояснення; Riskⱼ — перелік відкритих ризиків і дефіцитів даних; Stage — стадія життєвого циклу, на якій сформовано оцінку. Така структура запобігає хибній точності: значення 0,80 при повному наборі надійних свідчень і значення 0,80 при неповній специфікації повинні мати різну інтерпретацію.</w:t>
      </w:r>
    </w:p>
    <w:p>
      <w:pPr>
        <w:jc w:val="left"/>
      </w:pPr>
      <w:r>
        <w:rPr>
          <w:rFonts w:ascii="Times New Roman" w:hAnsi="Times New Roman" w:eastAsia="Times New Roman"/>
          <w:sz w:val="28"/>
        </w:rPr>
        <w:t>Таблиця 3.9 – Послідовність виконання методу оцінювання</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737"/>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Крок</w:t>
            </w:r>
          </w:p>
        </w:tc>
        <w:tc>
          <w:tcPr>
            <w:tcW w:type="dxa" w:w="289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Операція</w:t>
            </w:r>
          </w:p>
        </w:tc>
        <w:tc>
          <w:tcPr>
            <w:tcW w:type="dxa" w:w="255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Вхід</w:t>
            </w:r>
          </w:p>
        </w:tc>
        <w:tc>
          <w:tcPr>
            <w:tcW w:type="dxa" w:w="2835"/>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Результат</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1</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Вибір qⱼ та Rⱼ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Матриця G, специфікація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Цільова характеристика і релевантні вимоги</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2</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Формування доказового пакета</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Zⱼ, Eⱼˢᵗᵃᵗ, за наявності Eⱼᵈʸⁿ</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Набір доступних каналів і масок</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3</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Перевірка застосовності та якості даних</w:t>
            </w:r>
          </w:p>
        </w:tc>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Bⱼ, Relⱼ, покриття артефактами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Ознаки з метаданими надійності</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4</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Канонічне перетворення та нормування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φʳᵉᑫ, φˢᵗᵃᵗ, φᵈʸⁿ</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Xⱼᴱ або Xⱼᵁ</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5</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Відбір інформативних ознак</w:t>
            </w:r>
          </w:p>
        </w:tc>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Навчальні дані 𝒟ᵗʳᵃⁱⁿ</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Xⱼˢᵉˡ</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6</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Калібрування Fθⱼ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Xⱼˢᵉˡ, yⱼ навчальних об’єктів</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Параметри θⱼ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7</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Формування оцінки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Новий об’єкт, Fθⱼ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ŷⱼ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8</w:t>
            </w:r>
          </w:p>
        </w:tc>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Оцінка покриття, надійності та невизначеності</w:t>
            </w:r>
          </w:p>
        </w:tc>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bₖⱼ, relₖⱼ, властивості моделі</w:t>
            </w:r>
          </w:p>
        </w:tc>
        <w:tc>
          <w:tcPr>
            <w:tcW w:type="dxa" w:w="2480"/>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Cⱼᵈᵃᵗᵃ, uⱼ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9</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Побудова пояснення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Внески ознак і трасування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Explⱼ, Riskⱼ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10</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Валідація/оновлення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Eⱼᵈʸⁿ, незалежне yⱼ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ŷⱼᵁ або εⱼ для експерименту</w:t>
            </w:r>
          </w:p>
        </w:tc>
      </w:tr>
    </w:tbl>
    <w:p/>
    <w:p>
      <w:pPr>
        <w:jc w:val="both"/>
      </w:pPr>
      <w:r>
        <w:rPr>
          <w:rFonts w:ascii="Times New Roman" w:hAnsi="Times New Roman" w:eastAsia="Times New Roman"/>
          <w:sz w:val="28"/>
        </w:rPr>
        <w:t>Метод підтримує поступове накопичення свідчень протягом життєвого циклу. Позначимо стадію через τ. На ранній стадії τ₁ доступні переважно вимоги; на τ₂ додаються трасування й архітектурні артефакти; на τ₃ — код; на τ₄ — динамічні результати. Для кожної стадії формується власний набір доступних ознак Xⱼ(τ) та оцінка ŷⱼ(τ). Проте зміна оцінки між стадіями не повинна автоматично трактуватися як реальне покращення або погіршення продукту: частина зміни може бути наслідком появи нових свідчень. Тому Stage є обов’язковою частиною результату, а моделі для різних стадій мають калібруватися та порівнюватися окремо.</w:t>
      </w:r>
    </w:p>
    <w:p>
      <w:pPr>
        <w:jc w:val="both"/>
      </w:pPr>
      <w:r>
        <w:rPr>
          <w:rFonts w:ascii="Times New Roman" w:hAnsi="Times New Roman" w:eastAsia="Times New Roman"/>
          <w:sz w:val="28"/>
        </w:rPr>
        <w:t>Для повного продукту метод формує не один інтегральний індекс, а профіль оцінок за характеристиками ISO/IEC 25010:2023 [4]:</w:t>
      </w:r>
    </w:p>
    <w:p>
      <w:pPr>
        <w:pStyle w:val="Eq"/>
      </w:pPr>
      <w:r>
        <w:rPr>
          <w:rFonts w:ascii="Times New Roman" w:hAnsi="Times New Roman" w:eastAsia="Times New Roman"/>
          <w:i/>
          <w:sz w:val="28"/>
        </w:rPr>
        <w:t>Ŷ = (ŷ₁, ŷ₂, …, ŷ₉),   Cᵈᵃᵗᵃ = (c₁ᵈᵃᵗᵃ, …, c₉ᵈᵃᵗᵃ).</w:t>
      </w:r>
    </w:p>
    <w:p>
      <w:pPr>
        <w:jc w:val="both"/>
      </w:pPr>
      <w:r>
        <w:rPr>
          <w:rFonts w:ascii="Times New Roman" w:hAnsi="Times New Roman" w:eastAsia="Times New Roman"/>
          <w:sz w:val="28"/>
        </w:rPr>
        <w:t>Збереження профілю замість передчасного усереднення має практичне значення: висока оцінка функціональної придатності не повинна компенсувати критично низьку оцінку безпеки або надійності. Якщо для конкретної прикладної задачі потрібен інтегральний індекс, правило агрегування, ваги та допустимість компенсації між характеристиками повинні бути визначені окремою моделлю і обґрунтовані контекстом. Це питання відноситься до Розділу 4.</w:t>
      </w:r>
    </w:p>
    <w:p>
      <w:pPr>
        <w:jc w:val="left"/>
      </w:pPr>
      <w:r>
        <w:rPr>
          <w:rFonts w:ascii="Times New Roman" w:hAnsi="Times New Roman" w:eastAsia="Times New Roman"/>
          <w:sz w:val="28"/>
        </w:rPr>
        <w:t>Таблиця 3.10 – Структура результату та правила інтерпретації</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0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Компонент</w:t>
            </w:r>
          </w:p>
        </w:tc>
        <w:tc>
          <w:tcPr>
            <w:tcW w:type="dxa" w:w="3402"/>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Зміст</w:t>
            </w:r>
          </w:p>
        </w:tc>
        <w:tc>
          <w:tcPr>
            <w:tcW w:type="dxa" w:w="3855"/>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Правило інтерпретації</w:t>
            </w:r>
          </w:p>
        </w:tc>
      </w:tr>
      <w:tr>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ŷⱼ</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Нормована прогнозна/уточнена оцінка qⱼ</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Порівнювати лише в межах однаково визначеної семантики та стадії</w:t>
            </w:r>
          </w:p>
        </w:tc>
      </w:tr>
      <w:tr>
        <w:tc>
          <w:tcPr>
            <w:tcW w:type="dxa" w:w="3307"/>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Cⱼᵈᵃᵗᵃ</w:t>
            </w:r>
          </w:p>
        </w:tc>
        <w:tc>
          <w:tcPr>
            <w:tcW w:type="dxa" w:w="3307"/>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Покриття та надійність доступних свідчень</w:t>
            </w:r>
          </w:p>
        </w:tc>
        <w:tc>
          <w:tcPr>
            <w:tcW w:type="dxa" w:w="3307"/>
            <w:vAlign w:val="center"/>
            <w:tcMar>
              <w:top w:w="65" w:type="dxa"/>
              <w:left w:w="65" w:type="dxa"/>
              <w:bottom w:w="65" w:type="dxa"/>
              <w:right w:w="65" w:type="dxa"/>
            </w:tcMar>
          </w:tcPr>
          <w:p>
            <w:pPr>
              <w:spacing w:line="240" w:lineRule="auto" w:before="0" w:after="0"/>
              <w:jc w:val="left"/>
            </w:pPr>
            <w:r>
              <w:rPr>
                <w:rFonts w:ascii="Times New Roman" w:hAnsi="Times New Roman" w:eastAsia="Times New Roman"/>
                <w:sz w:val="16"/>
              </w:rPr>
              <w:t>Інтерпретувати компоненти cⱼᶜᵒᵛ і cⱼʳᵉˡ окремо; не трактувати як ймовірність правильності</w:t>
            </w:r>
          </w:p>
        </w:tc>
      </w:tr>
      <w:tr>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uⱼ</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Модельна невизначеність, якщо доступна</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Зберігати окремо від достатності даних</w:t>
            </w:r>
          </w:p>
        </w:tc>
      </w:tr>
      <w:tr>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Explⱼ</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Ключові фактори і трасування до джерел</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Використовувати для аналізу причин низької/високої оцінки</w:t>
            </w:r>
          </w:p>
        </w:tc>
      </w:tr>
      <w:tr>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Riskⱼ</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Невирішені дефекти, відсутні артефакти, слабке покриття</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Формує основу для рекомендацій і повторного оцінювання</w:t>
            </w:r>
          </w:p>
        </w:tc>
      </w:tr>
      <w:tr>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Stage</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Стадія формування оцінки</w:t>
            </w:r>
          </w:p>
        </w:tc>
        <w:tc>
          <w:tcPr>
            <w:tcW w:type="dxa" w:w="3307"/>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порівнювати оцінки різних стадій як однорідні без калібрування</w:t>
            </w:r>
          </w:p>
        </w:tc>
      </w:tr>
    </w:tbl>
    <w:p/>
    <w:p>
      <w:pPr>
        <w:jc w:val="both"/>
      </w:pPr>
      <w:r>
        <w:rPr>
          <w:rFonts w:ascii="Times New Roman" w:hAnsi="Times New Roman" w:eastAsia="Times New Roman"/>
          <w:sz w:val="28"/>
        </w:rPr>
        <w:t>Відтворюваність методу забезпечується фіксацією версії специфікації, правил видобування метрик, матриці G, набору ознак, параметрів нормування, складу навчальної вибірки, процедури відбору, параметрів Fθⱼ та версії програмних інструментів. Для автоматизованих детекторів доцільно зберігати їх версію і показники якості, на яких ґрунтується Relⱼ. Для експертних компонентів фіксуються критерії, шкала та, за можливості, узгодженість оцінювачів. Такий журнал необхідний для того, щоб повторне оцінювання тієї самої версії артефактів давало відтворюваний результат.</w:t>
      </w:r>
    </w:p>
    <w:p>
      <w:pPr>
        <w:jc w:val="both"/>
      </w:pPr>
      <w:r>
        <w:rPr>
          <w:rFonts w:ascii="Times New Roman" w:hAnsi="Times New Roman" w:eastAsia="Times New Roman"/>
          <w:sz w:val="28"/>
        </w:rPr>
        <w:t>Для навчання і валідації методу одиницею спостереження доцільно вважати проєкт, реліз або іншу незалежну версію, для якої доступні специфікація, відповідні статичні артефакти та фактичні показники yⱼ. Якщо декілька версій одного проєкту потрапляють до різних частин навчальної і тестової вибірки, необхідно враховувати їх залежність, інакше оцінка точності може бути завищена. Конкретну схему поділу даних, критерії вибору Fθⱼ, метрики похибки та перевірку гіпотез H1–H4 доцільно зафіксувати у Розділі 5.</w:t>
      </w:r>
    </w:p>
    <w:p>
      <w:pPr>
        <w:jc w:val="both"/>
      </w:pPr>
      <w:r>
        <w:rPr>
          <w:rFonts w:ascii="Times New Roman" w:hAnsi="Times New Roman" w:eastAsia="Times New Roman"/>
          <w:sz w:val="28"/>
        </w:rPr>
        <w:t>Метод також передбачає зворотний зв’язок до вимог. Якщо пояснення Explⱼ вказує, що низька оцінка зумовлена відсутністю критеріїв приймання, низькою трасованістю або суперечностями у критичній підмножині Rⱼ, результатом повинна бути не лише числова оцінка, а й рекомендація щодо уточнення конкретних артефактів. Після їх зміни обчислюються нові Mⱼ, Eⱼˢᵗᵃᵗ і, за потреби, ŷⱼ. Таким чином, метод може використовуватися і як інструмент раннього контролю, і як механізм підтримки ітеративного вдосконалення специфікацій.</w:t>
      </w:r>
    </w:p>
    <w:p>
      <w:pPr>
        <w:jc w:val="both"/>
      </w:pPr>
      <w:r>
        <w:rPr>
          <w:rFonts w:ascii="Times New Roman" w:hAnsi="Times New Roman" w:eastAsia="Times New Roman"/>
          <w:sz w:val="28"/>
        </w:rPr>
        <w:t>Науково-методичне значення запропонованої процедури полягає у поєднанні трьох рівнів, які часто розглядаються окремо: метричного опису вимог, багатоканальних статичних і динамічних свідчень та прогнозної оцінки якості програмного продукту. При цьому збережено принцип незастосовності, семантичну прив’язку до qⱼ, розмежування раннього прогнозу і фактичної валідації, а також явне представлення достатності доказів. Це створює основу для подальшої побудови математичної/інформаційної моделі взаємозв’язків у Розділі 4 та її експериментальної перевірки у Розділі 5.</w:t>
      </w:r>
    </w:p>
    <w:p>
      <w:pPr>
        <w:jc w:val="both"/>
      </w:pPr>
      <w:r>
        <w:rPr>
          <w:rFonts w:ascii="Times New Roman" w:hAnsi="Times New Roman" w:eastAsia="Times New Roman"/>
          <w:sz w:val="28"/>
        </w:rPr>
        <w:t>Таким чином, у підрозділі запропоновано метод оцінювання, який для кожної характеристики qⱼ: формує характеристико-специфічний доказовий пакет; перетворює доступні свідчення у канонічний вектор ознак; відбирає інформативні показники без використання тестових даних; калібрує прогнозну функцію Fθⱼ; формує оцінку ŷⱼ разом із показником достатності даних, невизначеністю та поясненням; а після появи динамічних свідчень забезпечує незалежну перевірку раннього прогнозу та уточнення поточного стану. Результатом є профіль Ŷ, який не приховує локальні ризики передчасним інтегральним усередненням і зберігає трасування від оцінки до вихідних вимог та інших артефактів.</w:t>
      </w:r>
    </w:p>
    <w:p>
      <w:pPr>
        <w:pStyle w:val="Heading1"/>
      </w:pPr>
      <w:r>
        <w:t>Список джерел до розділу 3</w:t>
      </w:r>
    </w:p>
    <w:p>
      <w:r>
        <w:t>4. ISO/IEC 25010:2023. Systems and software engineering — Systems and software Quality Requirements and Evaluation (SQuaRE) — Product quality model. Geneva: ISO, 2023.</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