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line="360" w:lineRule="auto"/>
        <w:jc w:val="left"/>
      </w:pPr>
      <w:r>
        <w:rPr>
          <w:rFonts w:ascii="Times New Roman" w:hAnsi="Times New Roman" w:eastAsia="Times New Roman"/>
          <w:b/>
          <w:sz w:val="28"/>
        </w:rPr>
        <w:t>4.1. Модель процесу оцінювання якості програмного забезпечення на основі аналізу вимог</w:t>
      </w:r>
    </w:p>
    <w:p>
      <w:pPr>
        <w:spacing w:line="360" w:lineRule="auto" w:before="0" w:after="0"/>
        <w:ind w:firstLine="709"/>
        <w:jc w:val="both"/>
      </w:pPr>
      <w:r>
        <w:rPr>
          <w:rFonts w:ascii="Times New Roman" w:hAnsi="Times New Roman" w:eastAsia="Times New Roman"/>
          <w:b w:val="0"/>
          <w:sz w:val="28"/>
        </w:rPr>
        <w:t>У попередніх розділах сформовано інформаційно-метричну та методичну основу оцінювання якості. Специфікацію подано як S = (R, Attr, L, H), для кожної характеристики якості програмного продукту qⱼ визначено метричний опис Zⱼ, статичний профіль Eⱼˢᵗᵃᵗ та динамічний профіль Eⱼᵈʸⁿ, а у підрозділі 3.3 запропоновано двохрежимну процедуру формування ранньої та уточненої оцінок. Завдання підрозділу 4.1 полягає не у повторному описі цієї процедури, а у побудові процесної моделі, яка визначає місце оцінювання у життєвому циклі програмного забезпечення, склад доступних на кожній стадії артефактів, правила переходу між контрольними точками та механізм зворотного зв’язку до вимог.</w:t>
      </w:r>
    </w:p>
    <w:p>
      <w:pPr>
        <w:spacing w:line="360" w:lineRule="auto" w:before="0" w:after="0"/>
        <w:ind w:firstLine="709"/>
        <w:jc w:val="both"/>
      </w:pPr>
      <w:r>
        <w:rPr>
          <w:rFonts w:ascii="Times New Roman" w:hAnsi="Times New Roman" w:eastAsia="Times New Roman"/>
          <w:b w:val="0"/>
          <w:sz w:val="28"/>
        </w:rPr>
        <w:t>Процесна модель повинна враховувати, що інформація про майбутню якість накопичується нерівномірно. На етапі формування вимог доступні переважно текстові, структурні та трасувальні характеристики специфікації; після проєктування з’являються архітектурні рішення; після реалізації — вихідний код і результати його статичного аналізу; після появи виконуваної версії — динамічні спостереження. Отже, одна й та сама характеристика qⱼ може оцінюватися декілька разів, але кожна оцінка повинна інтерпретуватися разом зі стадією життєвого циклу, доступністю даних і версією артефактів.</w:t>
      </w:r>
    </w:p>
    <w:p>
      <w:pPr>
        <w:spacing w:line="360" w:lineRule="auto" w:before="0" w:after="0"/>
        <w:ind w:firstLine="709"/>
        <w:jc w:val="both"/>
      </w:pPr>
      <w:r>
        <w:rPr>
          <w:rFonts w:ascii="Times New Roman" w:hAnsi="Times New Roman" w:eastAsia="Times New Roman"/>
          <w:b w:val="0"/>
          <w:sz w:val="28"/>
        </w:rPr>
        <w:t>Чинна ISO/IEC/IEEE 12207:2026 встановлює спільну рамку процесів життєвого циклу програмного забезпечення, охоплюючи постачання, розроблення, експлуатацію, супровід і вилучення програмних продуктів та послуг [20]. ISO/IEC/IEEE 15288:2023 підкреслює можливість ітеративного та паралельного застосування процесів протягом життєвого циклу систем [21]. ISO/IEC/IEEE 29148:2018 розглядає вимоги як інформаційні елементи, що формуються, аналізуються та супроводжуються протягом життєвого циклу [15]. Водночас ISO/IEC 25040:2024 задає рамку процесу оцінювання якості, а ISO/IEC 25010:2023 визначає характеристики якості програмного продукту, які можуть використовуватися для формування вимог, цілей контролю та критеріїв приймання [11; 4]. На відміну від цих нормативних рамок, запропонована нижче процесна модель є робочою формалізацією саме для задачі раннього оцінювання якості на основі вимог і подальшого накопичення свідчень.</w:t>
      </w:r>
    </w:p>
    <w:p>
      <w:pPr>
        <w:spacing w:line="360" w:lineRule="auto" w:before="0" w:after="0"/>
        <w:ind w:firstLine="709"/>
        <w:jc w:val="both"/>
      </w:pPr>
      <w:r>
        <w:rPr>
          <w:rFonts w:ascii="Times New Roman" w:hAnsi="Times New Roman" w:eastAsia="Times New Roman"/>
          <w:b w:val="0"/>
          <w:sz w:val="28"/>
        </w:rPr>
        <w:t>Для формального опису введемо впорядковану множину стадій життєвого циклу 𝒯 = {τᴿ, τᴬ, τᴵ, τᵀ, τᴼ}, де τᴿ відповідає формуванню та узгодженню вимог; τᴬ — архітектурному і детальному проєктуванню; τᴵ — реалізації; τᵀ — верифікації та валідації; τᴼ — експлуатації та еволюції. Такий поділ не задає жорсткої каскадної методології. У гнучких або ітеративних процесах стадії можуть повторюватися для окремих інкрементів, однак кожна оцінка все одно повинна бути прив’язана до конкретної комбінації стадії, версії специфікації та доступних артефактів.</w:t>
      </w:r>
    </w:p>
    <w:p>
      <w:pPr>
        <w:pStyle w:val="Eq"/>
        <w:spacing w:before="60" w:after="60"/>
        <w:jc w:val="center"/>
      </w:pPr>
      <w:r>
        <w:rPr>
          <w:rFonts w:ascii="Times New Roman" w:hAnsi="Times New Roman" w:eastAsia="Times New Roman"/>
          <w:sz w:val="28"/>
        </w:rPr>
        <w:t>𝒯 = {τᴿ, τᴬ, τᴵ, τᵀ, τᴼ}.</w:t>
      </w:r>
    </w:p>
    <w:p>
      <w:pPr>
        <w:spacing w:before="60" w:after="60"/>
        <w:jc w:val="left"/>
      </w:pPr>
      <w:r>
        <w:rPr>
          <w:rFonts w:ascii="Times New Roman" w:hAnsi="Times New Roman" w:eastAsia="Times New Roman"/>
          <w:sz w:val="28"/>
        </w:rPr>
        <w:t>Таблиця 4.1 – Стадії процесної моделі та доступні джерела свідчень</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361"/>
            <w:vAlign w:val="center"/>
            <w:shd w:fill="D9E2F3"/>
            <w:tcMar>
              <w:top w:w="60" w:type="dxa"/>
              <w:start w:w="70" w:type="dxa"/>
              <w:bottom w:w="60" w:type="dxa"/>
              <w:end w:w="70" w:type="dxa"/>
            </w:tcMar>
          </w:tcPr>
          <w:p>
            <w:pPr>
              <w:jc w:val="center"/>
            </w:pPr>
            <w:r/>
            <w:r>
              <w:rPr>
                <w:rFonts w:ascii="Times New Roman" w:hAnsi="Times New Roman" w:eastAsia="Times New Roman"/>
                <w:b/>
                <w:sz w:val="16"/>
              </w:rPr>
              <w:t>Стадія</w:t>
            </w:r>
          </w:p>
        </w:tc>
        <w:tc>
          <w:tcPr>
            <w:tcW w:type="dxa" w:w="2948"/>
            <w:vAlign w:val="center"/>
            <w:shd w:fill="D9E2F3"/>
            <w:tcMar>
              <w:top w:w="60" w:type="dxa"/>
              <w:start w:w="70" w:type="dxa"/>
              <w:bottom w:w="60" w:type="dxa"/>
              <w:end w:w="70" w:type="dxa"/>
            </w:tcMar>
          </w:tcPr>
          <w:p>
            <w:pPr>
              <w:jc w:val="center"/>
            </w:pPr>
            <w:r/>
            <w:r>
              <w:rPr>
                <w:rFonts w:ascii="Times New Roman" w:hAnsi="Times New Roman" w:eastAsia="Times New Roman"/>
                <w:b/>
                <w:sz w:val="16"/>
              </w:rPr>
              <w:t>Основні артефакти</w:t>
            </w:r>
          </w:p>
        </w:tc>
        <w:tc>
          <w:tcPr>
            <w:tcW w:type="dxa" w:w="2551"/>
            <w:vAlign w:val="center"/>
            <w:shd w:fill="D9E2F3"/>
            <w:tcMar>
              <w:top w:w="60" w:type="dxa"/>
              <w:start w:w="70" w:type="dxa"/>
              <w:bottom w:w="60" w:type="dxa"/>
              <w:end w:w="70" w:type="dxa"/>
            </w:tcMar>
          </w:tcPr>
          <w:p>
            <w:pPr>
              <w:jc w:val="center"/>
            </w:pPr>
            <w:r/>
            <w:r>
              <w:rPr>
                <w:rFonts w:ascii="Times New Roman" w:hAnsi="Times New Roman" w:eastAsia="Times New Roman"/>
                <w:b/>
                <w:sz w:val="16"/>
              </w:rPr>
              <w:t>Доступні свідчення</w:t>
            </w:r>
          </w:p>
        </w:tc>
        <w:tc>
          <w:tcPr>
            <w:tcW w:type="dxa" w:w="2835"/>
            <w:vAlign w:val="center"/>
            <w:shd w:fill="D9E2F3"/>
            <w:tcMar>
              <w:top w:w="60" w:type="dxa"/>
              <w:start w:w="70" w:type="dxa"/>
              <w:bottom w:w="60" w:type="dxa"/>
              <w:end w:w="70" w:type="dxa"/>
            </w:tcMar>
          </w:tcPr>
          <w:p>
            <w:pPr>
              <w:jc w:val="center"/>
            </w:pPr>
            <w:r/>
            <w:r>
              <w:rPr>
                <w:rFonts w:ascii="Times New Roman" w:hAnsi="Times New Roman" w:eastAsia="Times New Roman"/>
                <w:b/>
                <w:sz w:val="16"/>
              </w:rPr>
              <w:t>Основне призначення оцінки</w:t>
            </w:r>
          </w:p>
        </w:tc>
      </w:tr>
      <w:tr>
        <w:tc>
          <w:tcPr>
            <w:tcW w:type="dxa" w:w="1361"/>
            <w:vAlign w:val="top"/>
            <w:tcMar>
              <w:top w:w="60" w:type="dxa"/>
              <w:start w:w="70" w:type="dxa"/>
              <w:bottom w:w="60" w:type="dxa"/>
              <w:end w:w="70" w:type="dxa"/>
            </w:tcMar>
          </w:tcPr>
          <w:p>
            <w:pPr>
              <w:spacing w:before="0" w:after="0"/>
              <w:jc w:val="left"/>
            </w:pPr>
            <w:r/>
            <w:r>
              <w:rPr>
                <w:rFonts w:ascii="Times New Roman" w:hAnsi="Times New Roman" w:eastAsia="Times New Roman"/>
                <w:sz w:val="16"/>
              </w:rPr>
              <w:t>τᴿ — вимоги</w:t>
            </w:r>
          </w:p>
        </w:tc>
        <w:tc>
          <w:tcPr>
            <w:tcW w:type="dxa" w:w="2948"/>
            <w:vAlign w:val="top"/>
            <w:tcMar>
              <w:top w:w="60" w:type="dxa"/>
              <w:start w:w="70" w:type="dxa"/>
              <w:bottom w:w="60" w:type="dxa"/>
              <w:end w:w="70" w:type="dxa"/>
            </w:tcMar>
          </w:tcPr>
          <w:p>
            <w:pPr>
              <w:spacing w:before="0" w:after="0"/>
              <w:jc w:val="left"/>
            </w:pPr>
            <w:r/>
            <w:r>
              <w:rPr>
                <w:rFonts w:ascii="Times New Roman" w:hAnsi="Times New Roman" w:eastAsia="Times New Roman"/>
                <w:sz w:val="16"/>
              </w:rPr>
              <w:t>Вимоги, специфікація, критерії приймання, зв’язки, історія змін</w:t>
            </w:r>
          </w:p>
        </w:tc>
        <w:tc>
          <w:tcPr>
            <w:tcW w:type="dxa" w:w="2551"/>
            <w:vAlign w:val="top"/>
            <w:tcMar>
              <w:top w:w="60" w:type="dxa"/>
              <w:start w:w="70" w:type="dxa"/>
              <w:bottom w:w="60" w:type="dxa"/>
              <w:end w:w="70" w:type="dxa"/>
            </w:tcMar>
          </w:tcPr>
          <w:p>
            <w:pPr>
              <w:spacing w:before="0" w:after="0"/>
              <w:jc w:val="left"/>
            </w:pPr>
            <w:r/>
            <w:r>
              <w:rPr>
                <w:rFonts w:ascii="Times New Roman" w:hAnsi="Times New Roman" w:eastAsia="Times New Roman"/>
                <w:sz w:val="16"/>
              </w:rPr>
              <w:t>Mⱼ; Eⱼʳᵉᑫ; частково Eⱼᵗʳ</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Раннє виявлення дефектів і формування первинного прогнозу</w:t>
            </w:r>
          </w:p>
        </w:tc>
      </w:tr>
      <w:tr>
        <w:tc>
          <w:tcPr>
            <w:tcW w:type="dxa" w:w="1361"/>
            <w:vAlign w:val="top"/>
            <w:tcMar>
              <w:top w:w="60" w:type="dxa"/>
              <w:start w:w="70" w:type="dxa"/>
              <w:bottom w:w="60" w:type="dxa"/>
              <w:end w:w="70" w:type="dxa"/>
            </w:tcMar>
          </w:tcPr>
          <w:p>
            <w:pPr>
              <w:spacing w:before="0" w:after="0"/>
              <w:jc w:val="left"/>
            </w:pPr>
            <w:r/>
            <w:r>
              <w:rPr>
                <w:rFonts w:ascii="Times New Roman" w:hAnsi="Times New Roman" w:eastAsia="Times New Roman"/>
                <w:sz w:val="16"/>
              </w:rPr>
              <w:t>τᴬ — проєктування</w:t>
            </w:r>
          </w:p>
        </w:tc>
        <w:tc>
          <w:tcPr>
            <w:tcW w:type="dxa" w:w="2948"/>
            <w:vAlign w:val="top"/>
            <w:tcMar>
              <w:top w:w="60" w:type="dxa"/>
              <w:start w:w="70" w:type="dxa"/>
              <w:bottom w:w="60" w:type="dxa"/>
              <w:end w:w="70" w:type="dxa"/>
            </w:tcMar>
          </w:tcPr>
          <w:p>
            <w:pPr>
              <w:spacing w:before="0" w:after="0"/>
              <w:jc w:val="left"/>
            </w:pPr>
            <w:r/>
            <w:r>
              <w:rPr>
                <w:rFonts w:ascii="Times New Roman" w:hAnsi="Times New Roman" w:eastAsia="Times New Roman"/>
                <w:sz w:val="16"/>
              </w:rPr>
              <w:t>Архітектурні описи, моделі, рішення, інтерфейси</w:t>
            </w:r>
          </w:p>
        </w:tc>
        <w:tc>
          <w:tcPr>
            <w:tcW w:type="dxa" w:w="2551"/>
            <w:vAlign w:val="top"/>
            <w:tcMar>
              <w:top w:w="60" w:type="dxa"/>
              <w:start w:w="70" w:type="dxa"/>
              <w:bottom w:w="60" w:type="dxa"/>
              <w:end w:w="70" w:type="dxa"/>
            </w:tcMar>
          </w:tcPr>
          <w:p>
            <w:pPr>
              <w:spacing w:before="0" w:after="0"/>
              <w:jc w:val="left"/>
            </w:pPr>
            <w:r/>
            <w:r>
              <w:rPr>
                <w:rFonts w:ascii="Times New Roman" w:hAnsi="Times New Roman" w:eastAsia="Times New Roman"/>
                <w:sz w:val="16"/>
              </w:rPr>
              <w:t>Попередні свідчення + Eⱼᵃʳᶜʰ</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Перевірка реалізованості вимог до якості та архітектурних ризиків</w:t>
            </w:r>
          </w:p>
        </w:tc>
      </w:tr>
      <w:tr>
        <w:tc>
          <w:tcPr>
            <w:tcW w:type="dxa" w:w="1361"/>
            <w:vAlign w:val="top"/>
            <w:tcMar>
              <w:top w:w="60" w:type="dxa"/>
              <w:start w:w="70" w:type="dxa"/>
              <w:bottom w:w="60" w:type="dxa"/>
              <w:end w:w="70" w:type="dxa"/>
            </w:tcMar>
          </w:tcPr>
          <w:p>
            <w:pPr>
              <w:spacing w:before="0" w:after="0"/>
              <w:jc w:val="left"/>
            </w:pPr>
            <w:r/>
            <w:r>
              <w:rPr>
                <w:rFonts w:ascii="Times New Roman" w:hAnsi="Times New Roman" w:eastAsia="Times New Roman"/>
                <w:sz w:val="16"/>
              </w:rPr>
              <w:t>τᴵ — реалізація</w:t>
            </w:r>
          </w:p>
        </w:tc>
        <w:tc>
          <w:tcPr>
            <w:tcW w:type="dxa" w:w="2948"/>
            <w:vAlign w:val="top"/>
            <w:tcMar>
              <w:top w:w="60" w:type="dxa"/>
              <w:start w:w="70" w:type="dxa"/>
              <w:bottom w:w="60" w:type="dxa"/>
              <w:end w:w="70" w:type="dxa"/>
            </w:tcMar>
          </w:tcPr>
          <w:p>
            <w:pPr>
              <w:spacing w:before="0" w:after="0"/>
              <w:jc w:val="left"/>
            </w:pPr>
            <w:r/>
            <w:r>
              <w:rPr>
                <w:rFonts w:ascii="Times New Roman" w:hAnsi="Times New Roman" w:eastAsia="Times New Roman"/>
                <w:sz w:val="16"/>
              </w:rPr>
              <w:t>Вихідний код, конфігурації, результати статичного аналізу</w:t>
            </w:r>
          </w:p>
        </w:tc>
        <w:tc>
          <w:tcPr>
            <w:tcW w:type="dxa" w:w="2551"/>
            <w:vAlign w:val="top"/>
            <w:tcMar>
              <w:top w:w="60" w:type="dxa"/>
              <w:start w:w="70" w:type="dxa"/>
              <w:bottom w:w="60" w:type="dxa"/>
              <w:end w:w="70" w:type="dxa"/>
            </w:tcMar>
          </w:tcPr>
          <w:p>
            <w:pPr>
              <w:spacing w:before="0" w:after="0"/>
              <w:jc w:val="left"/>
            </w:pPr>
            <w:r/>
            <w:r>
              <w:rPr>
                <w:rFonts w:ascii="Times New Roman" w:hAnsi="Times New Roman" w:eastAsia="Times New Roman"/>
                <w:sz w:val="16"/>
              </w:rPr>
              <w:t>Попередні свідчення + Eⱼᶜᵒᵈᵉ</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Уточнення ризиків і перевірка відповідності реалізації проєктним рішенням</w:t>
            </w:r>
          </w:p>
        </w:tc>
      </w:tr>
      <w:tr>
        <w:tc>
          <w:tcPr>
            <w:tcW w:type="dxa" w:w="1361"/>
            <w:vAlign w:val="top"/>
            <w:tcMar>
              <w:top w:w="60" w:type="dxa"/>
              <w:start w:w="70" w:type="dxa"/>
              <w:bottom w:w="60" w:type="dxa"/>
              <w:end w:w="70" w:type="dxa"/>
            </w:tcMar>
          </w:tcPr>
          <w:p>
            <w:pPr>
              <w:spacing w:before="0" w:after="0"/>
              <w:jc w:val="left"/>
            </w:pPr>
            <w:r/>
            <w:r>
              <w:rPr>
                <w:rFonts w:ascii="Times New Roman" w:hAnsi="Times New Roman" w:eastAsia="Times New Roman"/>
                <w:sz w:val="16"/>
              </w:rPr>
              <w:t>τᵀ — тестування</w:t>
            </w:r>
          </w:p>
        </w:tc>
        <w:tc>
          <w:tcPr>
            <w:tcW w:type="dxa" w:w="2948"/>
            <w:vAlign w:val="top"/>
            <w:tcMar>
              <w:top w:w="60" w:type="dxa"/>
              <w:start w:w="70" w:type="dxa"/>
              <w:bottom w:w="60" w:type="dxa"/>
              <w:end w:w="70" w:type="dxa"/>
            </w:tcMar>
          </w:tcPr>
          <w:p>
            <w:pPr>
              <w:spacing w:before="0" w:after="0"/>
              <w:jc w:val="left"/>
            </w:pPr>
            <w:r/>
            <w:r>
              <w:rPr>
                <w:rFonts w:ascii="Times New Roman" w:hAnsi="Times New Roman" w:eastAsia="Times New Roman"/>
                <w:sz w:val="16"/>
              </w:rPr>
              <w:t>Тести, журнали виконання, фактичні вимірювання</w:t>
            </w:r>
          </w:p>
        </w:tc>
        <w:tc>
          <w:tcPr>
            <w:tcW w:type="dxa" w:w="2551"/>
            <w:vAlign w:val="top"/>
            <w:tcMar>
              <w:top w:w="60" w:type="dxa"/>
              <w:start w:w="70" w:type="dxa"/>
              <w:bottom w:w="60" w:type="dxa"/>
              <w:end w:w="70" w:type="dxa"/>
            </w:tcMar>
          </w:tcPr>
          <w:p>
            <w:pPr>
              <w:spacing w:before="0" w:after="0"/>
              <w:jc w:val="left"/>
            </w:pPr>
            <w:r/>
            <w:r>
              <w:rPr>
                <w:rFonts w:ascii="Times New Roman" w:hAnsi="Times New Roman" w:eastAsia="Times New Roman"/>
                <w:sz w:val="16"/>
              </w:rPr>
              <w:t>Eⱼᵈʸⁿ; фактичні yⱼ</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Незалежна перевірка раннього прогнозу та оцінювання відповідності</w:t>
            </w:r>
          </w:p>
        </w:tc>
      </w:tr>
      <w:tr>
        <w:tc>
          <w:tcPr>
            <w:tcW w:type="dxa" w:w="1361"/>
            <w:vAlign w:val="top"/>
            <w:tcMar>
              <w:top w:w="60" w:type="dxa"/>
              <w:start w:w="70" w:type="dxa"/>
              <w:bottom w:w="60" w:type="dxa"/>
              <w:end w:w="70" w:type="dxa"/>
            </w:tcMar>
          </w:tcPr>
          <w:p>
            <w:pPr>
              <w:spacing w:before="0" w:after="0"/>
              <w:jc w:val="left"/>
            </w:pPr>
            <w:r/>
            <w:r>
              <w:rPr>
                <w:rFonts w:ascii="Times New Roman" w:hAnsi="Times New Roman" w:eastAsia="Times New Roman"/>
                <w:sz w:val="16"/>
              </w:rPr>
              <w:t>τᴼ — експлуатація</w:t>
            </w:r>
          </w:p>
        </w:tc>
        <w:tc>
          <w:tcPr>
            <w:tcW w:type="dxa" w:w="2948"/>
            <w:vAlign w:val="top"/>
            <w:tcMar>
              <w:top w:w="60" w:type="dxa"/>
              <w:start w:w="70" w:type="dxa"/>
              <w:bottom w:w="60" w:type="dxa"/>
              <w:end w:w="70" w:type="dxa"/>
            </w:tcMar>
          </w:tcPr>
          <w:p>
            <w:pPr>
              <w:spacing w:before="0" w:after="0"/>
              <w:jc w:val="left"/>
            </w:pPr>
            <w:r/>
            <w:r>
              <w:rPr>
                <w:rFonts w:ascii="Times New Roman" w:hAnsi="Times New Roman" w:eastAsia="Times New Roman"/>
                <w:sz w:val="16"/>
              </w:rPr>
              <w:t>Телеметрія, інциденти, зміни вимог, дані супроводу</w:t>
            </w:r>
          </w:p>
        </w:tc>
        <w:tc>
          <w:tcPr>
            <w:tcW w:type="dxa" w:w="2551"/>
            <w:vAlign w:val="top"/>
            <w:tcMar>
              <w:top w:w="60" w:type="dxa"/>
              <w:start w:w="70" w:type="dxa"/>
              <w:bottom w:w="60" w:type="dxa"/>
              <w:end w:w="70" w:type="dxa"/>
            </w:tcMar>
          </w:tcPr>
          <w:p>
            <w:pPr>
              <w:spacing w:before="0" w:after="0"/>
              <w:jc w:val="left"/>
            </w:pPr>
            <w:r/>
            <w:r>
              <w:rPr>
                <w:rFonts w:ascii="Times New Roman" w:hAnsi="Times New Roman" w:eastAsia="Times New Roman"/>
                <w:sz w:val="16"/>
              </w:rPr>
              <w:t>Експлуатаційні свідчення та нові версії S</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Контроль стійкості висновків і повторне оцінювання після змін</w:t>
            </w:r>
          </w:p>
        </w:tc>
      </w:tr>
    </w:tbl>
    <w:p/>
    <w:p>
      <w:pPr>
        <w:spacing w:line="360" w:lineRule="auto" w:before="0" w:after="0"/>
        <w:ind w:firstLine="709"/>
        <w:jc w:val="both"/>
      </w:pPr>
      <w:r>
        <w:rPr>
          <w:rFonts w:ascii="Times New Roman" w:hAnsi="Times New Roman" w:eastAsia="Times New Roman"/>
          <w:b w:val="0"/>
          <w:sz w:val="28"/>
        </w:rPr>
        <w:t>Процесна модель повинна описувати не лише перелік стадій, а й стан оцінювання у певний момент. Для характеристики qⱼ введемо стан Pⱼ(τ, v), де τ — стадія, а v — версія набору артефактів. Стан включає доступний вектор ознак Xⱼ(τ, v), поточну оцінку ŷⱼ(τ, v), пару доказової достатності Cⱼᵈᵃᵗᵃ(τ, v) = (cⱼᶜᵒᵛ, cⱼʳᵉˡ), модельну невизначеність uⱼ(τ, v), перелік відкритих ризиків Riskⱼ(τ, v) та посилання на джерела доказів Provⱼ(τ, v).</w:t>
      </w:r>
    </w:p>
    <w:p>
      <w:pPr>
        <w:pStyle w:val="Eq"/>
        <w:spacing w:before="60" w:after="60"/>
        <w:jc w:val="center"/>
      </w:pPr>
      <w:r>
        <w:rPr>
          <w:rFonts w:ascii="Times New Roman" w:hAnsi="Times New Roman" w:eastAsia="Times New Roman"/>
          <w:sz w:val="28"/>
        </w:rPr>
        <w:t>Pⱼ(τ, v) = (Xⱼ(τ, v), ŷⱼ(τ, v), Cⱼᵈᵃᵗᵃ(τ, v), uⱼ(τ, v), Riskⱼ(τ, v), Provⱼ(τ, v)).</w:t>
      </w:r>
    </w:p>
    <w:p>
      <w:pPr>
        <w:spacing w:line="360" w:lineRule="auto" w:before="0" w:after="0"/>
        <w:ind w:firstLine="709"/>
        <w:jc w:val="both"/>
      </w:pPr>
      <w:r>
        <w:rPr>
          <w:rFonts w:ascii="Times New Roman" w:hAnsi="Times New Roman" w:eastAsia="Times New Roman"/>
          <w:b w:val="0"/>
          <w:sz w:val="28"/>
        </w:rPr>
        <w:t>Включення версії v є принциповим. Якщо вимога була змінена після архітектурного рев’ю, попереднє архітектурне свідчення не повинно автоматично вважатися актуальним. Аналогічно, результати тестування однієї версії продукту не можуть безумовно переноситися на іншу. Тому кожен компонент доказового профілю повинен бути версіонований, а зв’язок між вимогою, проєктним рішенням, реалізацією і тестом — зберігати актуальність або явно позначатися як такий, що потребує повторної перевірки.</w:t>
      </w:r>
    </w:p>
    <w:p>
      <w:pPr>
        <w:spacing w:line="360" w:lineRule="auto" w:before="0" w:after="0"/>
        <w:ind w:firstLine="709"/>
        <w:jc w:val="both"/>
      </w:pPr>
      <w:r>
        <w:rPr>
          <w:rFonts w:ascii="Times New Roman" w:hAnsi="Times New Roman" w:eastAsia="Times New Roman"/>
          <w:b w:val="0"/>
          <w:sz w:val="28"/>
        </w:rPr>
        <w:t>Для опису переходу між стадіями введемо оператор оновлення 𝒰ⱼ. Він не означає арифметичне усереднення старої і нової оцінок. Після появи нового артефакту або зміни специфікації метод 3.3 повторно формує канонічний вектор ознак, застосовує модель, калібровану для відповідної стадії, і формує новий стан. У загальному вигляді:</w:t>
      </w:r>
    </w:p>
    <w:p>
      <w:pPr>
        <w:pStyle w:val="Eq"/>
        <w:spacing w:before="60" w:after="60"/>
        <w:jc w:val="center"/>
      </w:pPr>
      <w:r>
        <w:rPr>
          <w:rFonts w:ascii="Times New Roman" w:hAnsi="Times New Roman" w:eastAsia="Times New Roman"/>
          <w:sz w:val="28"/>
        </w:rPr>
        <w:t>Pⱼ(τₖ₊₁, v′) = 𝒰ⱼ(Pⱼ(τₖ, v), ΔEⱼ, ΔS, C).</w:t>
      </w:r>
    </w:p>
    <w:p>
      <w:pPr>
        <w:spacing w:line="360" w:lineRule="auto" w:before="0" w:after="0"/>
        <w:ind w:firstLine="709"/>
        <w:jc w:val="both"/>
      </w:pPr>
      <w:r>
        <w:rPr>
          <w:rFonts w:ascii="Times New Roman" w:hAnsi="Times New Roman" w:eastAsia="Times New Roman"/>
          <w:b w:val="0"/>
          <w:sz w:val="28"/>
        </w:rPr>
        <w:t>Тут ΔEⱼ позначає нові або змінені свідчення, ΔS — зміни специфікації, а C — контекст проєкту. Така постановка дозволяє уникнути необґрунтованої моделі “оцінка поступово збільшується з кожною стадією”. Насправді поява нових даних може як підвищити, так і знизити ŷⱼ, а частина зміни може пояснюватися не зміною фактичної якості продукту, а лише зростанням обсягу інформації. Саме тому разом з ŷⱼ зберігаються Cⱼᵈᵃᵗᵃ, uⱼ і Stage.</w:t>
      </w:r>
    </w:p>
    <w:p>
      <w:pPr>
        <w:spacing w:line="360" w:lineRule="auto" w:before="0" w:after="0"/>
        <w:ind w:firstLine="709"/>
        <w:jc w:val="both"/>
      </w:pPr>
      <w:r>
        <w:rPr>
          <w:rFonts w:ascii="Times New Roman" w:hAnsi="Times New Roman" w:eastAsia="Times New Roman"/>
          <w:b w:val="0"/>
          <w:sz w:val="28"/>
        </w:rPr>
        <w:t>На стадії τᴿ формується базова рання оцінка. Вхід складається з метричного опису вимог та доступних статичних свідчень. Якщо для характеристики qⱼ релевантні вимоги відсутні або критично неповні, процесна модель не повинна формувати хибно точний бал. Такий стан інтерпретується як дефіцит доказів і повинен ініціювати уточнення специфікації. Це узгоджується з ISO/IEC 25030:2019, де якісні вимоги розглядаються як основа подальшого проєктування, реалізації та перевірки [10].</w:t>
      </w:r>
    </w:p>
    <w:p>
      <w:pPr>
        <w:spacing w:line="360" w:lineRule="auto" w:before="0" w:after="0"/>
        <w:ind w:firstLine="709"/>
        <w:jc w:val="both"/>
      </w:pPr>
      <w:r>
        <w:rPr>
          <w:rFonts w:ascii="Times New Roman" w:hAnsi="Times New Roman" w:eastAsia="Times New Roman"/>
          <w:b w:val="0"/>
          <w:sz w:val="28"/>
        </w:rPr>
        <w:t>На стадії τᴬ до оцінки додаються архітектурні свідчення. ISO/IEC/IEEE 42010:2022 задає поняття архітектурного опису, viewpoints, concerns і рішень, а ISO/IEC/IEEE 42030:2019 — рамку архітектурного оцінювання [38; 39]. Для запропонованої моделі це означає, що вимога до якості повинна мати не лише текстове формулювання, а й простежуваний зв’язок з архітектурними рішеннями, які забезпечують її реалізацію. Відсутність такого зв’язку розглядається як ризик, а не як автоматичний доказ низької якості програмного продукту.</w:t>
      </w:r>
    </w:p>
    <w:p>
      <w:pPr>
        <w:spacing w:line="360" w:lineRule="auto" w:before="0" w:after="0"/>
        <w:ind w:firstLine="709"/>
        <w:jc w:val="both"/>
      </w:pPr>
      <w:r>
        <w:rPr>
          <w:rFonts w:ascii="Times New Roman" w:hAnsi="Times New Roman" w:eastAsia="Times New Roman"/>
          <w:b w:val="0"/>
          <w:sz w:val="28"/>
        </w:rPr>
        <w:t>На стадії τᴵ з’являються артефакти реалізації. Статичні показники коду можуть підтверджувати або уточнювати ризики, виявлені раніше, проте не замінюють оцінювання поведінки. Процесна модель зберігає походження таких свідчень і не допускає використання результатів, доступних лише після реалізації, у моделі, призначеній для перевірки раннього прогнозу. Таким чином підтримується методичне розділення між прогнозуванням та постфактум поясненням.</w:t>
      </w:r>
    </w:p>
    <w:p>
      <w:pPr>
        <w:spacing w:line="360" w:lineRule="auto" w:before="0" w:after="0"/>
        <w:ind w:firstLine="709"/>
        <w:jc w:val="both"/>
      </w:pPr>
      <w:r>
        <w:rPr>
          <w:rFonts w:ascii="Times New Roman" w:hAnsi="Times New Roman" w:eastAsia="Times New Roman"/>
          <w:b w:val="0"/>
          <w:sz w:val="28"/>
        </w:rPr>
        <w:t>На стадії τᵀ динамічний профіль використовується двома способами. По-перше, він формує фактичні значення yⱼ або інші цільові показники, необхідні для оцінювання точності раннього прогнозу. По-друге, після завершення незалежної перевірки ці дані можуть бути використані в уточнювальному режимі для поточного контролю стану продукту. Ці дві функції не повинні змішуватися: якщо динамічні дані використовувалися для формування ранньої ŷⱼ, вони не можуть одночасно слугувати незалежним критерієм її точності.</w:t>
      </w:r>
    </w:p>
    <w:p>
      <w:pPr>
        <w:spacing w:line="360" w:lineRule="auto" w:before="0" w:after="0"/>
        <w:ind w:firstLine="709"/>
        <w:jc w:val="both"/>
      </w:pPr>
      <w:r>
        <w:rPr>
          <w:rFonts w:ascii="Times New Roman" w:hAnsi="Times New Roman" w:eastAsia="Times New Roman"/>
          <w:b w:val="0"/>
          <w:sz w:val="28"/>
        </w:rPr>
        <w:t>На стадії τᴼ процес не завершується. Зміни бізнес-умов, нові інциденти, зміна навантаження, нові загрози або модифікація вимог можуть зробити попередню оцінку неактуальною. Тому експлуатаційні дані розглядаються як джерело нової версії доказів, а значуща зміна вимог або контексту повинна ініціювати повторний цикл оцінювання. Це дозволяє використовувати модель не лише під час первинного розроблення, а й у супроводі та еволюції ПЗ.</w:t>
      </w:r>
    </w:p>
    <w:p>
      <w:pPr>
        <w:spacing w:before="60" w:after="60"/>
        <w:jc w:val="left"/>
      </w:pPr>
      <w:r>
        <w:rPr>
          <w:rFonts w:ascii="Times New Roman" w:hAnsi="Times New Roman" w:eastAsia="Times New Roman"/>
          <w:sz w:val="28"/>
        </w:rPr>
        <w:t>Таблиця 4.2 – Компоненти стану процесного оцінювання</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01"/>
            <w:vAlign w:val="center"/>
            <w:shd w:fill="D9E2F3"/>
            <w:tcMar>
              <w:top w:w="60" w:type="dxa"/>
              <w:start w:w="70" w:type="dxa"/>
              <w:bottom w:w="60" w:type="dxa"/>
              <w:end w:w="70" w:type="dxa"/>
            </w:tcMar>
          </w:tcPr>
          <w:p>
            <w:pPr>
              <w:jc w:val="center"/>
            </w:pPr>
            <w:r/>
            <w:r>
              <w:rPr>
                <w:rFonts w:ascii="Times New Roman" w:hAnsi="Times New Roman" w:eastAsia="Times New Roman"/>
                <w:b/>
                <w:sz w:val="16"/>
              </w:rPr>
              <w:t>Компонент</w:t>
            </w:r>
          </w:p>
        </w:tc>
        <w:tc>
          <w:tcPr>
            <w:tcW w:type="dxa" w:w="2551"/>
            <w:vAlign w:val="center"/>
            <w:shd w:fill="D9E2F3"/>
            <w:tcMar>
              <w:top w:w="60" w:type="dxa"/>
              <w:start w:w="70" w:type="dxa"/>
              <w:bottom w:w="60" w:type="dxa"/>
              <w:end w:w="70" w:type="dxa"/>
            </w:tcMar>
          </w:tcPr>
          <w:p>
            <w:pPr>
              <w:jc w:val="center"/>
            </w:pPr>
            <w:r/>
            <w:r>
              <w:rPr>
                <w:rFonts w:ascii="Times New Roman" w:hAnsi="Times New Roman" w:eastAsia="Times New Roman"/>
                <w:b/>
                <w:sz w:val="16"/>
              </w:rPr>
              <w:t>Зміст</w:t>
            </w:r>
          </w:p>
        </w:tc>
        <w:tc>
          <w:tcPr>
            <w:tcW w:type="dxa" w:w="2835"/>
            <w:vAlign w:val="center"/>
            <w:shd w:fill="D9E2F3"/>
            <w:tcMar>
              <w:top w:w="60" w:type="dxa"/>
              <w:start w:w="70" w:type="dxa"/>
              <w:bottom w:w="60" w:type="dxa"/>
              <w:end w:w="70" w:type="dxa"/>
            </w:tcMar>
          </w:tcPr>
          <w:p>
            <w:pPr>
              <w:jc w:val="center"/>
            </w:pPr>
            <w:r/>
            <w:r>
              <w:rPr>
                <w:rFonts w:ascii="Times New Roman" w:hAnsi="Times New Roman" w:eastAsia="Times New Roman"/>
                <w:b/>
                <w:sz w:val="16"/>
              </w:rPr>
              <w:t>Правило інтерпретації</w:t>
            </w:r>
          </w:p>
        </w:tc>
        <w:tc>
          <w:tcPr>
            <w:tcW w:type="dxa" w:w="2494"/>
            <w:vAlign w:val="center"/>
            <w:shd w:fill="D9E2F3"/>
            <w:tcMar>
              <w:top w:w="60" w:type="dxa"/>
              <w:start w:w="70" w:type="dxa"/>
              <w:bottom w:w="60" w:type="dxa"/>
              <w:end w:w="70" w:type="dxa"/>
            </w:tcMar>
          </w:tcPr>
          <w:p>
            <w:pPr>
              <w:jc w:val="center"/>
            </w:pPr>
            <w:r/>
            <w:r>
              <w:rPr>
                <w:rFonts w:ascii="Times New Roman" w:hAnsi="Times New Roman" w:eastAsia="Times New Roman"/>
                <w:b/>
                <w:sz w:val="16"/>
              </w:rPr>
              <w:t>Типова причина зміни</w:t>
            </w:r>
          </w:p>
        </w:tc>
      </w:tr>
      <w:tr>
        <w:tc>
          <w:tcPr>
            <w:tcW w:type="dxa" w:w="1701"/>
            <w:vAlign w:val="top"/>
            <w:tcMar>
              <w:top w:w="60" w:type="dxa"/>
              <w:start w:w="70" w:type="dxa"/>
              <w:bottom w:w="60" w:type="dxa"/>
              <w:end w:w="70" w:type="dxa"/>
            </w:tcMar>
          </w:tcPr>
          <w:p>
            <w:pPr>
              <w:spacing w:before="0" w:after="0"/>
              <w:jc w:val="left"/>
            </w:pPr>
            <w:r/>
            <w:r>
              <w:rPr>
                <w:rFonts w:ascii="Times New Roman" w:hAnsi="Times New Roman" w:eastAsia="Times New Roman"/>
                <w:sz w:val="16"/>
              </w:rPr>
              <w:t>Xⱼ(τ, v)</w:t>
            </w:r>
          </w:p>
        </w:tc>
        <w:tc>
          <w:tcPr>
            <w:tcW w:type="dxa" w:w="2551"/>
            <w:vAlign w:val="top"/>
            <w:tcMar>
              <w:top w:w="60" w:type="dxa"/>
              <w:start w:w="70" w:type="dxa"/>
              <w:bottom w:w="60" w:type="dxa"/>
              <w:end w:w="70" w:type="dxa"/>
            </w:tcMar>
          </w:tcPr>
          <w:p>
            <w:pPr>
              <w:spacing w:before="0" w:after="0"/>
              <w:jc w:val="left"/>
            </w:pPr>
            <w:r/>
            <w:r>
              <w:rPr>
                <w:rFonts w:ascii="Times New Roman" w:hAnsi="Times New Roman" w:eastAsia="Times New Roman"/>
                <w:sz w:val="16"/>
              </w:rPr>
              <w:t>Канонічний вектор доступних ознак</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Містить лише застосовні та доступні для стадії дані</w:t>
            </w:r>
          </w:p>
        </w:tc>
        <w:tc>
          <w:tcPr>
            <w:tcW w:type="dxa" w:w="2494"/>
            <w:vAlign w:val="top"/>
            <w:tcMar>
              <w:top w:w="60" w:type="dxa"/>
              <w:start w:w="70" w:type="dxa"/>
              <w:bottom w:w="60" w:type="dxa"/>
              <w:end w:w="70" w:type="dxa"/>
            </w:tcMar>
          </w:tcPr>
          <w:p>
            <w:pPr>
              <w:spacing w:before="0" w:after="0"/>
              <w:jc w:val="left"/>
            </w:pPr>
            <w:r/>
            <w:r>
              <w:rPr>
                <w:rFonts w:ascii="Times New Roman" w:hAnsi="Times New Roman" w:eastAsia="Times New Roman"/>
                <w:sz w:val="16"/>
              </w:rPr>
              <w:t>Новий артефакт, нова версія або перерахунок метрик</w:t>
            </w:r>
          </w:p>
        </w:tc>
      </w:tr>
      <w:tr>
        <w:tc>
          <w:tcPr>
            <w:tcW w:type="dxa" w:w="1701"/>
            <w:vAlign w:val="top"/>
            <w:tcMar>
              <w:top w:w="60" w:type="dxa"/>
              <w:start w:w="70" w:type="dxa"/>
              <w:bottom w:w="60" w:type="dxa"/>
              <w:end w:w="70" w:type="dxa"/>
            </w:tcMar>
          </w:tcPr>
          <w:p>
            <w:pPr>
              <w:spacing w:before="0" w:after="0"/>
              <w:jc w:val="left"/>
            </w:pPr>
            <w:r/>
            <w:r>
              <w:rPr>
                <w:rFonts w:ascii="Times New Roman" w:hAnsi="Times New Roman" w:eastAsia="Times New Roman"/>
                <w:sz w:val="16"/>
              </w:rPr>
              <w:t>ŷⱼ(τ, v)</w:t>
            </w:r>
          </w:p>
        </w:tc>
        <w:tc>
          <w:tcPr>
            <w:tcW w:type="dxa" w:w="2551"/>
            <w:vAlign w:val="top"/>
            <w:tcMar>
              <w:top w:w="60" w:type="dxa"/>
              <w:start w:w="70" w:type="dxa"/>
              <w:bottom w:w="60" w:type="dxa"/>
              <w:end w:w="70" w:type="dxa"/>
            </w:tcMar>
          </w:tcPr>
          <w:p>
            <w:pPr>
              <w:spacing w:before="0" w:after="0"/>
              <w:jc w:val="left"/>
            </w:pPr>
            <w:r/>
            <w:r>
              <w:rPr>
                <w:rFonts w:ascii="Times New Roman" w:hAnsi="Times New Roman" w:eastAsia="Times New Roman"/>
                <w:sz w:val="16"/>
              </w:rPr>
              <w:t>Поточна оцінка qⱼ</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Інтерпретується тільки разом зі Stage і достатністю даних</w:t>
            </w:r>
          </w:p>
        </w:tc>
        <w:tc>
          <w:tcPr>
            <w:tcW w:type="dxa" w:w="2494"/>
            <w:vAlign w:val="top"/>
            <w:tcMar>
              <w:top w:w="60" w:type="dxa"/>
              <w:start w:w="70" w:type="dxa"/>
              <w:bottom w:w="60" w:type="dxa"/>
              <w:end w:w="70" w:type="dxa"/>
            </w:tcMar>
          </w:tcPr>
          <w:p>
            <w:pPr>
              <w:spacing w:before="0" w:after="0"/>
              <w:jc w:val="left"/>
            </w:pPr>
            <w:r/>
            <w:r>
              <w:rPr>
                <w:rFonts w:ascii="Times New Roman" w:hAnsi="Times New Roman" w:eastAsia="Times New Roman"/>
                <w:sz w:val="16"/>
              </w:rPr>
              <w:t>Нові свідчення або зміна моделі/контексту</w:t>
            </w:r>
          </w:p>
        </w:tc>
      </w:tr>
      <w:tr>
        <w:tc>
          <w:tcPr>
            <w:tcW w:type="dxa" w:w="1701"/>
            <w:vAlign w:val="top"/>
            <w:tcMar>
              <w:top w:w="60" w:type="dxa"/>
              <w:start w:w="70" w:type="dxa"/>
              <w:bottom w:w="60" w:type="dxa"/>
              <w:end w:w="70" w:type="dxa"/>
            </w:tcMar>
          </w:tcPr>
          <w:p>
            <w:pPr>
              <w:spacing w:before="0" w:after="0"/>
              <w:jc w:val="left"/>
            </w:pPr>
            <w:r>
              <w:rPr>
                <w:rFonts w:ascii="Times New Roman" w:hAnsi="Times New Roman" w:eastAsia="Times New Roman"/>
                <w:sz w:val="16"/>
              </w:rPr>
              <w:t>Cⱼᵈᵃᵗᵃ</w:t>
            </w:r>
          </w:p>
        </w:tc>
        <w:tc>
          <w:tcPr>
            <w:tcW w:type="dxa" w:w="2551"/>
            <w:vAlign w:val="top"/>
            <w:tcMar>
              <w:top w:w="60" w:type="dxa"/>
              <w:start w:w="70" w:type="dxa"/>
              <w:bottom w:w="60" w:type="dxa"/>
              <w:end w:w="70" w:type="dxa"/>
            </w:tcMar>
          </w:tcPr>
          <w:p>
            <w:pPr>
              <w:spacing w:before="0" w:after="0"/>
              <w:jc w:val="left"/>
            </w:pPr>
            <w:r>
              <w:rPr>
                <w:rFonts w:ascii="Times New Roman" w:hAnsi="Times New Roman" w:eastAsia="Times New Roman"/>
                <w:sz w:val="16"/>
              </w:rPr>
              <w:t>Покриття та надійність доказової бази</w:t>
            </w:r>
          </w:p>
        </w:tc>
        <w:tc>
          <w:tcPr>
            <w:tcW w:type="dxa" w:w="2835"/>
            <w:vAlign w:val="top"/>
            <w:tcMar>
              <w:top w:w="60" w:type="dxa"/>
              <w:start w:w="70" w:type="dxa"/>
              <w:bottom w:w="60" w:type="dxa"/>
              <w:end w:w="70" w:type="dxa"/>
            </w:tcMar>
          </w:tcPr>
          <w:p>
            <w:pPr>
              <w:spacing w:before="0" w:after="0"/>
              <w:jc w:val="left"/>
            </w:pPr>
            <w:r>
              <w:rPr>
                <w:rFonts w:ascii="Times New Roman" w:hAnsi="Times New Roman" w:eastAsia="Times New Roman"/>
                <w:sz w:val="16"/>
              </w:rPr>
              <w:t>Складається з cⱼᶜᵒᵛ і cⱼʳᵉˡ; не є ймовірністю правильності прогнозу</w:t>
            </w:r>
          </w:p>
        </w:tc>
        <w:tc>
          <w:tcPr>
            <w:tcW w:type="dxa" w:w="2494"/>
            <w:vAlign w:val="top"/>
            <w:tcMar>
              <w:top w:w="60" w:type="dxa"/>
              <w:start w:w="70" w:type="dxa"/>
              <w:bottom w:w="60" w:type="dxa"/>
              <w:end w:w="70" w:type="dxa"/>
            </w:tcMar>
          </w:tcPr>
          <w:p>
            <w:pPr>
              <w:spacing w:before="0" w:after="0"/>
              <w:jc w:val="left"/>
            </w:pPr>
            <w:r/>
            <w:r>
              <w:rPr>
                <w:rFonts w:ascii="Times New Roman" w:hAnsi="Times New Roman" w:eastAsia="Times New Roman"/>
                <w:sz w:val="16"/>
              </w:rPr>
              <w:t>Збільшення/втрата покриття, зміна надійності джерел</w:t>
            </w:r>
          </w:p>
        </w:tc>
      </w:tr>
      <w:tr>
        <w:tc>
          <w:tcPr>
            <w:tcW w:type="dxa" w:w="1701"/>
            <w:vAlign w:val="top"/>
            <w:tcMar>
              <w:top w:w="60" w:type="dxa"/>
              <w:start w:w="70" w:type="dxa"/>
              <w:bottom w:w="60" w:type="dxa"/>
              <w:end w:w="70" w:type="dxa"/>
            </w:tcMar>
          </w:tcPr>
          <w:p>
            <w:pPr>
              <w:spacing w:before="0" w:after="0"/>
              <w:jc w:val="left"/>
            </w:pPr>
            <w:r/>
            <w:r>
              <w:rPr>
                <w:rFonts w:ascii="Times New Roman" w:hAnsi="Times New Roman" w:eastAsia="Times New Roman"/>
                <w:sz w:val="16"/>
              </w:rPr>
              <w:t>uⱼ</w:t>
            </w:r>
          </w:p>
        </w:tc>
        <w:tc>
          <w:tcPr>
            <w:tcW w:type="dxa" w:w="2551"/>
            <w:vAlign w:val="top"/>
            <w:tcMar>
              <w:top w:w="60" w:type="dxa"/>
              <w:start w:w="70" w:type="dxa"/>
              <w:bottom w:w="60" w:type="dxa"/>
              <w:end w:w="70" w:type="dxa"/>
            </w:tcMar>
          </w:tcPr>
          <w:p>
            <w:pPr>
              <w:spacing w:before="0" w:after="0"/>
              <w:jc w:val="left"/>
            </w:pPr>
            <w:r/>
            <w:r>
              <w:rPr>
                <w:rFonts w:ascii="Times New Roman" w:hAnsi="Times New Roman" w:eastAsia="Times New Roman"/>
                <w:sz w:val="16"/>
              </w:rPr>
              <w:t>Модельна невизначеність</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Використовується лише якщо її підтримує Fθⱼ</w:t>
            </w:r>
          </w:p>
        </w:tc>
        <w:tc>
          <w:tcPr>
            <w:tcW w:type="dxa" w:w="2494"/>
            <w:vAlign w:val="top"/>
            <w:tcMar>
              <w:top w:w="60" w:type="dxa"/>
              <w:start w:w="70" w:type="dxa"/>
              <w:bottom w:w="60" w:type="dxa"/>
              <w:end w:w="70" w:type="dxa"/>
            </w:tcMar>
          </w:tcPr>
          <w:p>
            <w:pPr>
              <w:spacing w:before="0" w:after="0"/>
              <w:jc w:val="left"/>
            </w:pPr>
            <w:r/>
            <w:r>
              <w:rPr>
                <w:rFonts w:ascii="Times New Roman" w:hAnsi="Times New Roman" w:eastAsia="Times New Roman"/>
                <w:sz w:val="16"/>
              </w:rPr>
              <w:t>Нові дані, інший розподіл або калібрування</w:t>
            </w:r>
          </w:p>
        </w:tc>
      </w:tr>
      <w:tr>
        <w:tc>
          <w:tcPr>
            <w:tcW w:type="dxa" w:w="1701"/>
            <w:vAlign w:val="top"/>
            <w:tcMar>
              <w:top w:w="60" w:type="dxa"/>
              <w:start w:w="70" w:type="dxa"/>
              <w:bottom w:w="60" w:type="dxa"/>
              <w:end w:w="70" w:type="dxa"/>
            </w:tcMar>
          </w:tcPr>
          <w:p>
            <w:pPr>
              <w:spacing w:before="0" w:after="0"/>
              <w:jc w:val="left"/>
            </w:pPr>
            <w:r/>
            <w:r>
              <w:rPr>
                <w:rFonts w:ascii="Times New Roman" w:hAnsi="Times New Roman" w:eastAsia="Times New Roman"/>
                <w:sz w:val="16"/>
              </w:rPr>
              <w:t>Riskⱼ</w:t>
            </w:r>
          </w:p>
        </w:tc>
        <w:tc>
          <w:tcPr>
            <w:tcW w:type="dxa" w:w="2551"/>
            <w:vAlign w:val="top"/>
            <w:tcMar>
              <w:top w:w="60" w:type="dxa"/>
              <w:start w:w="70" w:type="dxa"/>
              <w:bottom w:w="60" w:type="dxa"/>
              <w:end w:w="70" w:type="dxa"/>
            </w:tcMar>
          </w:tcPr>
          <w:p>
            <w:pPr>
              <w:spacing w:before="0" w:after="0"/>
              <w:jc w:val="left"/>
            </w:pPr>
            <w:r/>
            <w:r>
              <w:rPr>
                <w:rFonts w:ascii="Times New Roman" w:hAnsi="Times New Roman" w:eastAsia="Times New Roman"/>
                <w:sz w:val="16"/>
              </w:rPr>
              <w:t>Відкриті ризики й дефіцити</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Критичний ризик може блокувати перехід незалежно від середнього бала</w:t>
            </w:r>
          </w:p>
        </w:tc>
        <w:tc>
          <w:tcPr>
            <w:tcW w:type="dxa" w:w="2494"/>
            <w:vAlign w:val="top"/>
            <w:tcMar>
              <w:top w:w="60" w:type="dxa"/>
              <w:start w:w="70" w:type="dxa"/>
              <w:bottom w:w="60" w:type="dxa"/>
              <w:end w:w="70" w:type="dxa"/>
            </w:tcMar>
          </w:tcPr>
          <w:p>
            <w:pPr>
              <w:spacing w:before="0" w:after="0"/>
              <w:jc w:val="left"/>
            </w:pPr>
            <w:r/>
            <w:r>
              <w:rPr>
                <w:rFonts w:ascii="Times New Roman" w:hAnsi="Times New Roman" w:eastAsia="Times New Roman"/>
                <w:sz w:val="16"/>
              </w:rPr>
              <w:t>Нова знахідка, усунення дефекту, зміна пріоритету</w:t>
            </w:r>
          </w:p>
        </w:tc>
      </w:tr>
      <w:tr>
        <w:tc>
          <w:tcPr>
            <w:tcW w:type="dxa" w:w="1701"/>
            <w:vAlign w:val="top"/>
            <w:tcMar>
              <w:top w:w="60" w:type="dxa"/>
              <w:start w:w="70" w:type="dxa"/>
              <w:bottom w:w="60" w:type="dxa"/>
              <w:end w:w="70" w:type="dxa"/>
            </w:tcMar>
          </w:tcPr>
          <w:p>
            <w:pPr>
              <w:spacing w:before="0" w:after="0"/>
              <w:jc w:val="left"/>
            </w:pPr>
            <w:r/>
            <w:r>
              <w:rPr>
                <w:rFonts w:ascii="Times New Roman" w:hAnsi="Times New Roman" w:eastAsia="Times New Roman"/>
                <w:sz w:val="16"/>
              </w:rPr>
              <w:t>Provⱼ</w:t>
            </w:r>
          </w:p>
        </w:tc>
        <w:tc>
          <w:tcPr>
            <w:tcW w:type="dxa" w:w="2551"/>
            <w:vAlign w:val="top"/>
            <w:tcMar>
              <w:top w:w="60" w:type="dxa"/>
              <w:start w:w="70" w:type="dxa"/>
              <w:bottom w:w="60" w:type="dxa"/>
              <w:end w:w="70" w:type="dxa"/>
            </w:tcMar>
          </w:tcPr>
          <w:p>
            <w:pPr>
              <w:spacing w:before="0" w:after="0"/>
              <w:jc w:val="left"/>
            </w:pPr>
            <w:r/>
            <w:r>
              <w:rPr>
                <w:rFonts w:ascii="Times New Roman" w:hAnsi="Times New Roman" w:eastAsia="Times New Roman"/>
                <w:sz w:val="16"/>
              </w:rPr>
              <w:t>Походження і версії доказів</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Забезпечує трасованість та відтворюваність</w:t>
            </w:r>
          </w:p>
        </w:tc>
        <w:tc>
          <w:tcPr>
            <w:tcW w:type="dxa" w:w="2494"/>
            <w:vAlign w:val="top"/>
            <w:tcMar>
              <w:top w:w="60" w:type="dxa"/>
              <w:start w:w="70" w:type="dxa"/>
              <w:bottom w:w="60" w:type="dxa"/>
              <w:end w:w="70" w:type="dxa"/>
            </w:tcMar>
          </w:tcPr>
          <w:p>
            <w:pPr>
              <w:spacing w:before="0" w:after="0"/>
              <w:jc w:val="left"/>
            </w:pPr>
            <w:r/>
            <w:r>
              <w:rPr>
                <w:rFonts w:ascii="Times New Roman" w:hAnsi="Times New Roman" w:eastAsia="Times New Roman"/>
                <w:sz w:val="16"/>
              </w:rPr>
              <w:t>Заміна артефакту або втрата актуальності зв’язку</w:t>
            </w:r>
          </w:p>
        </w:tc>
      </w:tr>
    </w:tbl>
    <w:p/>
    <w:p>
      <w:pPr>
        <w:spacing w:line="360" w:lineRule="auto" w:before="0" w:after="0"/>
        <w:ind w:firstLine="709"/>
        <w:jc w:val="both"/>
      </w:pPr>
      <w:r>
        <w:rPr>
          <w:rFonts w:ascii="Times New Roman" w:hAnsi="Times New Roman" w:eastAsia="Times New Roman"/>
          <w:b w:val="0"/>
          <w:sz w:val="28"/>
        </w:rPr>
        <w:t>Для керування процесом вводяться контрольні точки (quality checkpoints). Контрольна точка не є обов’язково окремою фазою життєвого циклу; це момент, коли накопичений стан достатній для прийняття рішення. Позначимо контрольну точку через Kₖ. Вона визначається стадією τₖ, набором обов’язкових артефактів ReqArtₖ, вектором мінімальних вимог до доказової достатності Cminₖ = {Cminⱼₖ}, вектором контекстних порогів якості Qminₖ = {Qminⱼₖ} та переліком критичних ризиків CritRiskₖ.</w:t>
      </w:r>
    </w:p>
    <w:p>
      <w:pPr>
        <w:pStyle w:val="Eq"/>
        <w:spacing w:before="60" w:after="60"/>
        <w:jc w:val="center"/>
      </w:pPr>
      <w:r>
        <w:rPr>
          <w:rFonts w:ascii="Times New Roman" w:hAnsi="Times New Roman" w:eastAsia="Times New Roman"/>
          <w:sz w:val="28"/>
        </w:rPr>
        <w:t>Kₖ = (τₖ, ReqArtₖ, Cminₖ, Qminₖ, CritRiskₖ).</w:t>
      </w:r>
    </w:p>
    <w:p>
      <w:pPr>
        <w:spacing w:line="360" w:lineRule="auto" w:before="0" w:after="0"/>
        <w:ind w:firstLine="709"/>
        <w:jc w:val="both"/>
      </w:pPr>
      <w:r>
        <w:rPr>
          <w:rFonts w:ascii="Times New Roman" w:hAnsi="Times New Roman" w:eastAsia="Times New Roman"/>
          <w:b w:val="0"/>
          <w:sz w:val="28"/>
        </w:rPr>
        <w:t>Порогові значення Qminⱼₖ і компоненти Cminⱼₖ = (cminⱼₖᶜᵒᵛ, cminⱼₖʳᵉˡ) у цьому підрозділі навмисно не фіксуються чисельно. Вони повинні залежати від характеристики qⱼ, типу системи, її критичності, регуляторних вимог, стадії життєвого циклу та результатів подальшої калібрації. Універсальний поріг, наприклад 0,7 для всіх проєктів і всіх qⱼ, не має достатнього обґрунтування. У контрольній точці доказова база вважається достатньою лише тоді, коли одночасно виконано cⱼᶜᵒᵛ ≥ cminⱼₖᶜᵒᵛ і cⱼʳᵉˡ ≥ cminⱼₖʳᵉˡ.</w:t>
      </w:r>
    </w:p>
    <w:p>
      <w:pPr>
        <w:spacing w:line="360" w:lineRule="auto" w:before="0" w:after="0"/>
        <w:ind w:firstLine="709"/>
        <w:jc w:val="both"/>
      </w:pPr>
      <w:r>
        <w:rPr>
          <w:rFonts w:ascii="Times New Roman" w:hAnsi="Times New Roman" w:eastAsia="Times New Roman"/>
          <w:b w:val="0"/>
          <w:sz w:val="28"/>
        </w:rPr>
        <w:t>Для кожної характеристики qⱼ у контрольній точці можливі щонайменше три стани рішення. Якщо доказів недостатньо, рішення відкладається і формується запит на додаткові дані або уточнення вимог. Якщо даних достатньо, але оцінка нижча за допустимий рівень чи існує критичний ризик, ініціюється коригувальна дія. Якщо достатність і рівень якості прийнятні та критичних ризиків немає, процес може переходити до наступної точки. У формалізованому вигляді:</w:t>
      </w:r>
    </w:p>
    <w:p>
      <w:pPr>
        <w:pStyle w:val="Eq"/>
        <w:spacing w:before="60" w:after="60"/>
        <w:jc w:val="center"/>
      </w:pPr>
      <w:r>
        <w:rPr>
          <w:rFonts w:ascii="Times New Roman" w:hAnsi="Times New Roman" w:eastAsia="Times New Roman"/>
          <w:sz w:val="28"/>
        </w:rPr>
        <w:t>Decisionⱼ(Kₖ) ∈ {evidence_required, corrective_action, proceed}.</w:t>
      </w:r>
    </w:p>
    <w:p>
      <w:pPr>
        <w:spacing w:before="60" w:after="60"/>
        <w:jc w:val="left"/>
      </w:pPr>
      <w:r>
        <w:rPr>
          <w:rFonts w:ascii="Times New Roman" w:hAnsi="Times New Roman" w:eastAsia="Times New Roman"/>
          <w:sz w:val="28"/>
        </w:rPr>
        <w:t>Таблиця 4.3 – Логіка прийняття рішень у контрольних точках</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835"/>
            <w:vAlign w:val="center"/>
            <w:shd w:fill="D9E2F3"/>
            <w:tcMar>
              <w:top w:w="60" w:type="dxa"/>
              <w:start w:w="70" w:type="dxa"/>
              <w:bottom w:w="60" w:type="dxa"/>
              <w:end w:w="70" w:type="dxa"/>
            </w:tcMar>
          </w:tcPr>
          <w:p>
            <w:pPr>
              <w:jc w:val="center"/>
            </w:pPr>
            <w:r/>
            <w:r>
              <w:rPr>
                <w:rFonts w:ascii="Times New Roman" w:hAnsi="Times New Roman" w:eastAsia="Times New Roman"/>
                <w:b/>
                <w:sz w:val="16"/>
              </w:rPr>
              <w:t>Умова</w:t>
            </w:r>
          </w:p>
        </w:tc>
        <w:tc>
          <w:tcPr>
            <w:tcW w:type="dxa" w:w="1814"/>
            <w:vAlign w:val="center"/>
            <w:shd w:fill="D9E2F3"/>
            <w:tcMar>
              <w:top w:w="60" w:type="dxa"/>
              <w:start w:w="70" w:type="dxa"/>
              <w:bottom w:w="60" w:type="dxa"/>
              <w:end w:w="70" w:type="dxa"/>
            </w:tcMar>
          </w:tcPr>
          <w:p>
            <w:pPr>
              <w:jc w:val="center"/>
            </w:pPr>
            <w:r/>
            <w:r>
              <w:rPr>
                <w:rFonts w:ascii="Times New Roman" w:hAnsi="Times New Roman" w:eastAsia="Times New Roman"/>
                <w:b/>
                <w:sz w:val="16"/>
              </w:rPr>
              <w:t>Рішення</w:t>
            </w:r>
          </w:p>
        </w:tc>
        <w:tc>
          <w:tcPr>
            <w:tcW w:type="dxa" w:w="2835"/>
            <w:vAlign w:val="center"/>
            <w:shd w:fill="D9E2F3"/>
            <w:tcMar>
              <w:top w:w="60" w:type="dxa"/>
              <w:start w:w="70" w:type="dxa"/>
              <w:bottom w:w="60" w:type="dxa"/>
              <w:end w:w="70" w:type="dxa"/>
            </w:tcMar>
          </w:tcPr>
          <w:p>
            <w:pPr>
              <w:jc w:val="center"/>
            </w:pPr>
            <w:r/>
            <w:r>
              <w:rPr>
                <w:rFonts w:ascii="Times New Roman" w:hAnsi="Times New Roman" w:eastAsia="Times New Roman"/>
                <w:b/>
                <w:sz w:val="16"/>
              </w:rPr>
              <w:t>Типова дія</w:t>
            </w:r>
          </w:p>
        </w:tc>
        <w:tc>
          <w:tcPr>
            <w:tcW w:type="dxa" w:w="2268"/>
            <w:vAlign w:val="center"/>
            <w:shd w:fill="D9E2F3"/>
            <w:tcMar>
              <w:top w:w="60" w:type="dxa"/>
              <w:start w:w="70" w:type="dxa"/>
              <w:bottom w:w="60" w:type="dxa"/>
              <w:end w:w="70" w:type="dxa"/>
            </w:tcMar>
          </w:tcPr>
          <w:p>
            <w:pPr>
              <w:jc w:val="center"/>
            </w:pPr>
            <w:r/>
            <w:r>
              <w:rPr>
                <w:rFonts w:ascii="Times New Roman" w:hAnsi="Times New Roman" w:eastAsia="Times New Roman"/>
                <w:b/>
                <w:sz w:val="16"/>
              </w:rPr>
              <w:t>Результат для процесу</w:t>
            </w:r>
          </w:p>
        </w:tc>
      </w:tr>
      <w:tr>
        <w:tc>
          <w:tcPr>
            <w:tcW w:type="dxa" w:w="2835"/>
            <w:vAlign w:val="top"/>
            <w:tcMar>
              <w:top w:w="60" w:type="dxa"/>
              <w:start w:w="70" w:type="dxa"/>
              <w:bottom w:w="60" w:type="dxa"/>
              <w:end w:w="70" w:type="dxa"/>
            </w:tcMar>
          </w:tcPr>
          <w:p>
            <w:pPr>
              <w:spacing w:before="0" w:after="0"/>
              <w:jc w:val="left"/>
            </w:pPr>
            <w:r>
              <w:rPr>
                <w:rFonts w:ascii="Times New Roman" w:hAnsi="Times New Roman" w:eastAsia="Times New Roman"/>
                <w:sz w:val="16"/>
              </w:rPr>
              <w:t>cⱼᶜᵒᵛ &lt; cminⱼₖᶜᵒᵛ або cⱼʳᵉˡ &lt; cminⱼₖʳᵉˡ</w:t>
            </w:r>
          </w:p>
        </w:tc>
        <w:tc>
          <w:tcPr>
            <w:tcW w:type="dxa" w:w="1814"/>
            <w:vAlign w:val="top"/>
            <w:tcMar>
              <w:top w:w="60" w:type="dxa"/>
              <w:start w:w="70" w:type="dxa"/>
              <w:bottom w:w="60" w:type="dxa"/>
              <w:end w:w="70" w:type="dxa"/>
            </w:tcMar>
          </w:tcPr>
          <w:p>
            <w:pPr>
              <w:spacing w:before="0" w:after="0"/>
              <w:jc w:val="left"/>
            </w:pPr>
            <w:r/>
            <w:r>
              <w:rPr>
                <w:rFonts w:ascii="Times New Roman" w:hAnsi="Times New Roman" w:eastAsia="Times New Roman"/>
                <w:sz w:val="16"/>
              </w:rPr>
              <w:t>evidence_required</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Уточнити вимоги, відновити трасування, отримати відсутній артефакт</w:t>
            </w:r>
          </w:p>
        </w:tc>
        <w:tc>
          <w:tcPr>
            <w:tcW w:type="dxa" w:w="2268"/>
            <w:vAlign w:val="top"/>
            <w:tcMar>
              <w:top w:w="60" w:type="dxa"/>
              <w:start w:w="70" w:type="dxa"/>
              <w:bottom w:w="60" w:type="dxa"/>
              <w:end w:w="70" w:type="dxa"/>
            </w:tcMar>
          </w:tcPr>
          <w:p>
            <w:pPr>
              <w:spacing w:before="0" w:after="0"/>
              <w:jc w:val="left"/>
            </w:pPr>
            <w:r/>
            <w:r>
              <w:rPr>
                <w:rFonts w:ascii="Times New Roman" w:hAnsi="Times New Roman" w:eastAsia="Times New Roman"/>
                <w:sz w:val="16"/>
              </w:rPr>
              <w:t>Оцінка не використовується як достатня підстава для переходу</w:t>
            </w:r>
          </w:p>
        </w:tc>
      </w:tr>
      <w:tr>
        <w:tc>
          <w:tcPr>
            <w:tcW w:type="dxa" w:w="2835"/>
            <w:vAlign w:val="top"/>
            <w:tcMar>
              <w:top w:w="60" w:type="dxa"/>
              <w:start w:w="70" w:type="dxa"/>
              <w:bottom w:w="60" w:type="dxa"/>
              <w:end w:w="70" w:type="dxa"/>
            </w:tcMar>
          </w:tcPr>
          <w:p>
            <w:pPr>
              <w:spacing w:before="0" w:after="0"/>
              <w:jc w:val="left"/>
            </w:pPr>
            <w:r>
              <w:rPr>
                <w:rFonts w:ascii="Times New Roman" w:hAnsi="Times New Roman" w:eastAsia="Times New Roman"/>
                <w:sz w:val="16"/>
              </w:rPr>
              <w:t>cⱼᶜᵒᵛ ≥ cminⱼₖᶜᵒᵛ і cⱼʳᵉˡ ≥ cminⱼₖʳᵉˡ і (ŷⱼ &lt; Qminⱼₖ або наявний CritRisk)</w:t>
            </w:r>
          </w:p>
        </w:tc>
        <w:tc>
          <w:tcPr>
            <w:tcW w:type="dxa" w:w="1814"/>
            <w:vAlign w:val="top"/>
            <w:tcMar>
              <w:top w:w="60" w:type="dxa"/>
              <w:start w:w="70" w:type="dxa"/>
              <w:bottom w:w="60" w:type="dxa"/>
              <w:end w:w="70" w:type="dxa"/>
            </w:tcMar>
          </w:tcPr>
          <w:p>
            <w:pPr>
              <w:spacing w:before="0" w:after="0"/>
              <w:jc w:val="left"/>
            </w:pPr>
            <w:r/>
            <w:r>
              <w:rPr>
                <w:rFonts w:ascii="Times New Roman" w:hAnsi="Times New Roman" w:eastAsia="Times New Roman"/>
                <w:sz w:val="16"/>
              </w:rPr>
              <w:t>corrective_action</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Змінити вимогу, архітектуру, реалізацію або план верифікації</w:t>
            </w:r>
          </w:p>
        </w:tc>
        <w:tc>
          <w:tcPr>
            <w:tcW w:type="dxa" w:w="2268"/>
            <w:vAlign w:val="top"/>
            <w:tcMar>
              <w:top w:w="60" w:type="dxa"/>
              <w:start w:w="70" w:type="dxa"/>
              <w:bottom w:w="60" w:type="dxa"/>
              <w:end w:w="70" w:type="dxa"/>
            </w:tcMar>
          </w:tcPr>
          <w:p>
            <w:pPr>
              <w:spacing w:before="0" w:after="0"/>
              <w:jc w:val="left"/>
            </w:pPr>
            <w:r/>
            <w:r>
              <w:rPr>
                <w:rFonts w:ascii="Times New Roman" w:hAnsi="Times New Roman" w:eastAsia="Times New Roman"/>
                <w:sz w:val="16"/>
              </w:rPr>
              <w:t>Після зміни формується нова версія v′ і виконується повторне оцінювання</w:t>
            </w:r>
          </w:p>
        </w:tc>
      </w:tr>
      <w:tr>
        <w:tc>
          <w:tcPr>
            <w:tcW w:type="dxa" w:w="2835"/>
            <w:vAlign w:val="top"/>
            <w:tcMar>
              <w:top w:w="60" w:type="dxa"/>
              <w:start w:w="70" w:type="dxa"/>
              <w:bottom w:w="60" w:type="dxa"/>
              <w:end w:w="70" w:type="dxa"/>
            </w:tcMar>
          </w:tcPr>
          <w:p>
            <w:pPr>
              <w:spacing w:before="0" w:after="0"/>
              <w:jc w:val="left"/>
            </w:pPr>
            <w:r>
              <w:rPr>
                <w:rFonts w:ascii="Times New Roman" w:hAnsi="Times New Roman" w:eastAsia="Times New Roman"/>
                <w:sz w:val="16"/>
              </w:rPr>
              <w:t>cⱼᶜᵒᵛ ≥ cminⱼₖᶜᵒᵛ і cⱼʳᵉˡ ≥ cminⱼₖʳᵉˡ, ŷⱼ ≥ Qminⱼₖ і CritRisk відсутні</w:t>
            </w:r>
          </w:p>
        </w:tc>
        <w:tc>
          <w:tcPr>
            <w:tcW w:type="dxa" w:w="1814"/>
            <w:vAlign w:val="top"/>
            <w:tcMar>
              <w:top w:w="60" w:type="dxa"/>
              <w:start w:w="70" w:type="dxa"/>
              <w:bottom w:w="60" w:type="dxa"/>
              <w:end w:w="70" w:type="dxa"/>
            </w:tcMar>
          </w:tcPr>
          <w:p>
            <w:pPr>
              <w:spacing w:before="0" w:after="0"/>
              <w:jc w:val="left"/>
            </w:pPr>
            <w:r/>
            <w:r>
              <w:rPr>
                <w:rFonts w:ascii="Times New Roman" w:hAnsi="Times New Roman" w:eastAsia="Times New Roman"/>
                <w:sz w:val="16"/>
              </w:rPr>
              <w:t>proceed</w:t>
            </w:r>
          </w:p>
        </w:tc>
        <w:tc>
          <w:tcPr>
            <w:tcW w:type="dxa" w:w="2835"/>
            <w:vAlign w:val="top"/>
            <w:tcMar>
              <w:top w:w="60" w:type="dxa"/>
              <w:start w:w="70" w:type="dxa"/>
              <w:bottom w:w="60" w:type="dxa"/>
              <w:end w:w="70" w:type="dxa"/>
            </w:tcMar>
          </w:tcPr>
          <w:p>
            <w:pPr>
              <w:spacing w:before="0" w:after="0"/>
              <w:jc w:val="left"/>
            </w:pPr>
            <w:r/>
            <w:r>
              <w:rPr>
                <w:rFonts w:ascii="Times New Roman" w:hAnsi="Times New Roman" w:eastAsia="Times New Roman"/>
                <w:sz w:val="16"/>
              </w:rPr>
              <w:t>Зафіксувати стан і продовжити життєвий цикл</w:t>
            </w:r>
          </w:p>
        </w:tc>
        <w:tc>
          <w:tcPr>
            <w:tcW w:type="dxa" w:w="2268"/>
            <w:vAlign w:val="top"/>
            <w:tcMar>
              <w:top w:w="60" w:type="dxa"/>
              <w:start w:w="70" w:type="dxa"/>
              <w:bottom w:w="60" w:type="dxa"/>
              <w:end w:w="70" w:type="dxa"/>
            </w:tcMar>
          </w:tcPr>
          <w:p>
            <w:pPr>
              <w:spacing w:before="0" w:after="0"/>
              <w:jc w:val="left"/>
            </w:pPr>
            <w:r/>
            <w:r>
              <w:rPr>
                <w:rFonts w:ascii="Times New Roman" w:hAnsi="Times New Roman" w:eastAsia="Times New Roman"/>
                <w:sz w:val="16"/>
              </w:rPr>
              <w:t>Поточна оцінка зберігається як базова для наступної контрольної точки</w:t>
            </w:r>
          </w:p>
        </w:tc>
      </w:tr>
    </w:tbl>
    <w:p/>
    <w:p>
      <w:pPr>
        <w:spacing w:line="360" w:lineRule="auto" w:before="0" w:after="0"/>
        <w:ind w:firstLine="709"/>
        <w:jc w:val="both"/>
      </w:pPr>
      <w:r>
        <w:rPr>
          <w:rFonts w:ascii="Times New Roman" w:hAnsi="Times New Roman" w:eastAsia="Times New Roman"/>
          <w:b w:val="0"/>
          <w:sz w:val="28"/>
        </w:rPr>
        <w:t>Особливо важливо, що рішення приймається не за одним інтегральним показником для всього продукту. Процесна модель зберігає характеристико-специфічний профіль Ŷ(τ) = (ŷ₁(τ), …, ŷ₉(τ)). Це означає, що критично низька безпека або надійність не може бути автоматично компенсована високою оцінкою інших характеристик. Якщо на рівні проєкту потрібен один узагальнений статус, він повинен формуватися на основі правил допустимості, які явно визначають некомпенсовані характеристики та критичні пороги.</w:t>
      </w:r>
    </w:p>
    <w:p>
      <w:pPr>
        <w:spacing w:line="360" w:lineRule="auto" w:before="0" w:after="0"/>
        <w:ind w:firstLine="709"/>
        <w:jc w:val="both"/>
      </w:pPr>
      <w:r>
        <w:rPr>
          <w:rFonts w:ascii="Times New Roman" w:hAnsi="Times New Roman" w:eastAsia="Times New Roman"/>
          <w:b w:val="0"/>
          <w:sz w:val="28"/>
        </w:rPr>
        <w:t>Механізм коригування реалізується через зворотний зв’язок. Нехай у стані Pⱼ(τ, v) виявлено дефект або ризик d. Для нього формується коригувальна дія a(d), що може бути спрямована на текст вимоги, критерій приймання, трасувальний зв’язок, архітектурне рішення, код або тест. Після внесення зміни формується нова версія v + 1, а всі залежні метрики і свідчення, для яких зміна є релевантною, позначаються як такі, що потребують повторного обчислення або перевірки.</w:t>
      </w:r>
    </w:p>
    <w:p>
      <w:pPr>
        <w:pStyle w:val="Eq"/>
        <w:spacing w:before="60" w:after="60"/>
        <w:jc w:val="center"/>
      </w:pPr>
      <w:r>
        <w:rPr>
          <w:rFonts w:ascii="Times New Roman" w:hAnsi="Times New Roman" w:eastAsia="Times New Roman"/>
          <w:sz w:val="28"/>
        </w:rPr>
        <w:t>Sᵛ → a(d) → Sᵛ⁺¹ → Zⱼᵛ⁺¹ → Eⱼᵛ⁺¹ → Pⱼ(τ, v+1).</w:t>
      </w:r>
    </w:p>
    <w:p>
      <w:pPr>
        <w:spacing w:line="360" w:lineRule="auto" w:before="0" w:after="0"/>
        <w:ind w:firstLine="709"/>
        <w:jc w:val="both"/>
      </w:pPr>
      <w:r>
        <w:rPr>
          <w:rFonts w:ascii="Times New Roman" w:hAnsi="Times New Roman" w:eastAsia="Times New Roman"/>
          <w:b w:val="0"/>
          <w:sz w:val="28"/>
        </w:rPr>
        <w:t>Таким чином, оцінювання включається у замкнений цикл керування якістю, а не виконується одноразово перед захистом або релізом. Важливо також не ототожнювати позитивну зміну Δŷⱼ з доведеним покращенням фактичної якості: якщо оцінка зросла лише тому, що змінилися ознаки вимог, це є прогнозованим покращенням. Його фактичний ефект повинен бути підтверджений пізнішими статичними та динамічними свідченнями. Ця вимога створює природний зв’язок між процесною моделлю та експериментальною частиною роботи.</w:t>
      </w:r>
    </w:p>
    <w:p>
      <w:pPr>
        <w:spacing w:line="360" w:lineRule="auto" w:before="0" w:after="0"/>
        <w:ind w:firstLine="709"/>
        <w:jc w:val="both"/>
      </w:pPr>
      <w:r>
        <w:rPr>
          <w:rFonts w:ascii="Times New Roman" w:hAnsi="Times New Roman" w:eastAsia="Times New Roman"/>
          <w:b w:val="0"/>
          <w:sz w:val="28"/>
        </w:rPr>
        <w:t>Процесна модель повинна зберігати декілька інваріантів. По-перше, відсутнє або незастосовне свідчення не прирівнюється до нульового значення. По-друге, дані з майбутніх стадій не використовуються для формування раннього прогнозу, який надалі оцінюється на цих самих даних. По-третє, кожна оцінка має версію, стадію та походження. По-четверте, критичні локальні ризики не приховуються агрегуванням. По-п’яте, будь-яка зміна вимоги повинна запускати аналіз впливу на пов’язані артефакти та результати оцінювання.</w:t>
      </w:r>
    </w:p>
    <w:p>
      <w:pPr>
        <w:spacing w:before="60" w:after="60"/>
        <w:jc w:val="left"/>
      </w:pPr>
      <w:r>
        <w:rPr>
          <w:rFonts w:ascii="Times New Roman" w:hAnsi="Times New Roman" w:eastAsia="Times New Roman"/>
          <w:sz w:val="28"/>
        </w:rPr>
        <w:t>Таблиця 4.4 – Інваріанти запропонованої процесної моделі</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268"/>
            <w:vAlign w:val="center"/>
            <w:shd w:fill="D9E2F3"/>
            <w:tcMar>
              <w:top w:w="60" w:type="dxa"/>
              <w:start w:w="70" w:type="dxa"/>
              <w:bottom w:w="60" w:type="dxa"/>
              <w:end w:w="70" w:type="dxa"/>
            </w:tcMar>
          </w:tcPr>
          <w:p>
            <w:pPr>
              <w:jc w:val="center"/>
            </w:pPr>
            <w:r/>
            <w:r>
              <w:rPr>
                <w:rFonts w:ascii="Times New Roman" w:hAnsi="Times New Roman" w:eastAsia="Times New Roman"/>
                <w:b/>
                <w:sz w:val="16"/>
              </w:rPr>
              <w:t>Інваріант</w:t>
            </w:r>
          </w:p>
        </w:tc>
        <w:tc>
          <w:tcPr>
            <w:tcW w:type="dxa" w:w="3969"/>
            <w:vAlign w:val="center"/>
            <w:shd w:fill="D9E2F3"/>
            <w:tcMar>
              <w:top w:w="60" w:type="dxa"/>
              <w:start w:w="70" w:type="dxa"/>
              <w:bottom w:w="60" w:type="dxa"/>
              <w:end w:w="70" w:type="dxa"/>
            </w:tcMar>
          </w:tcPr>
          <w:p>
            <w:pPr>
              <w:jc w:val="center"/>
            </w:pPr>
            <w:r/>
            <w:r>
              <w:rPr>
                <w:rFonts w:ascii="Times New Roman" w:hAnsi="Times New Roman" w:eastAsia="Times New Roman"/>
                <w:b/>
                <w:sz w:val="16"/>
              </w:rPr>
              <w:t>Зміст</w:t>
            </w:r>
          </w:p>
        </w:tc>
        <w:tc>
          <w:tcPr>
            <w:tcW w:type="dxa" w:w="3402"/>
            <w:vAlign w:val="center"/>
            <w:shd w:fill="D9E2F3"/>
            <w:tcMar>
              <w:top w:w="60" w:type="dxa"/>
              <w:start w:w="70" w:type="dxa"/>
              <w:bottom w:w="60" w:type="dxa"/>
              <w:end w:w="70" w:type="dxa"/>
            </w:tcMar>
          </w:tcPr>
          <w:p>
            <w:pPr>
              <w:jc w:val="center"/>
            </w:pPr>
            <w:r/>
            <w:r>
              <w:rPr>
                <w:rFonts w:ascii="Times New Roman" w:hAnsi="Times New Roman" w:eastAsia="Times New Roman"/>
                <w:b/>
                <w:sz w:val="16"/>
              </w:rPr>
              <w:t>Проблема, якій запобігає</w:t>
            </w:r>
          </w:p>
        </w:tc>
      </w:tr>
      <w:tr>
        <w:tc>
          <w:tcPr>
            <w:tcW w:type="dxa" w:w="2268"/>
            <w:vAlign w:val="top"/>
            <w:tcMar>
              <w:top w:w="60" w:type="dxa"/>
              <w:start w:w="70" w:type="dxa"/>
              <w:bottom w:w="60" w:type="dxa"/>
              <w:end w:w="70" w:type="dxa"/>
            </w:tcMar>
          </w:tcPr>
          <w:p>
            <w:pPr>
              <w:spacing w:before="0" w:after="0"/>
              <w:jc w:val="left"/>
            </w:pPr>
            <w:r/>
            <w:r>
              <w:rPr>
                <w:rFonts w:ascii="Times New Roman" w:hAnsi="Times New Roman" w:eastAsia="Times New Roman"/>
                <w:sz w:val="16"/>
              </w:rPr>
              <w:t>Застосовність</w:t>
            </w:r>
          </w:p>
        </w:tc>
        <w:tc>
          <w:tcPr>
            <w:tcW w:type="dxa" w:w="3969"/>
            <w:vAlign w:val="top"/>
            <w:tcMar>
              <w:top w:w="60" w:type="dxa"/>
              <w:start w:w="70" w:type="dxa"/>
              <w:bottom w:w="60" w:type="dxa"/>
              <w:end w:w="70" w:type="dxa"/>
            </w:tcMar>
          </w:tcPr>
          <w:p>
            <w:pPr>
              <w:spacing w:before="0" w:after="0"/>
              <w:jc w:val="left"/>
            </w:pPr>
            <w:r/>
            <w:r>
              <w:rPr>
                <w:rFonts w:ascii="Times New Roman" w:hAnsi="Times New Roman" w:eastAsia="Times New Roman"/>
                <w:sz w:val="16"/>
              </w:rPr>
              <w:t>NA/відсутність даних зберігається окремо від нульового значення</w:t>
            </w:r>
          </w:p>
        </w:tc>
        <w:tc>
          <w:tcPr>
            <w:tcW w:type="dxa" w:w="3402"/>
            <w:vAlign w:val="top"/>
            <w:tcMar>
              <w:top w:w="60" w:type="dxa"/>
              <w:start w:w="70" w:type="dxa"/>
              <w:bottom w:w="60" w:type="dxa"/>
              <w:end w:w="70" w:type="dxa"/>
            </w:tcMar>
          </w:tcPr>
          <w:p>
            <w:pPr>
              <w:spacing w:before="0" w:after="0"/>
              <w:jc w:val="left"/>
            </w:pPr>
            <w:r/>
            <w:r>
              <w:rPr>
                <w:rFonts w:ascii="Times New Roman" w:hAnsi="Times New Roman" w:eastAsia="Times New Roman"/>
                <w:sz w:val="16"/>
              </w:rPr>
              <w:t>Штучне заниження оцінки</w:t>
            </w:r>
          </w:p>
        </w:tc>
      </w:tr>
      <w:tr>
        <w:tc>
          <w:tcPr>
            <w:tcW w:type="dxa" w:w="2268"/>
            <w:vAlign w:val="top"/>
            <w:tcMar>
              <w:top w:w="60" w:type="dxa"/>
              <w:start w:w="70" w:type="dxa"/>
              <w:bottom w:w="60" w:type="dxa"/>
              <w:end w:w="70" w:type="dxa"/>
            </w:tcMar>
          </w:tcPr>
          <w:p>
            <w:pPr>
              <w:spacing w:before="0" w:after="0"/>
              <w:jc w:val="left"/>
            </w:pPr>
            <w:r/>
            <w:r>
              <w:rPr>
                <w:rFonts w:ascii="Times New Roman" w:hAnsi="Times New Roman" w:eastAsia="Times New Roman"/>
                <w:sz w:val="16"/>
              </w:rPr>
              <w:t>Часова чистота</w:t>
            </w:r>
          </w:p>
        </w:tc>
        <w:tc>
          <w:tcPr>
            <w:tcW w:type="dxa" w:w="3969"/>
            <w:vAlign w:val="top"/>
            <w:tcMar>
              <w:top w:w="60" w:type="dxa"/>
              <w:start w:w="70" w:type="dxa"/>
              <w:bottom w:w="60" w:type="dxa"/>
              <w:end w:w="70" w:type="dxa"/>
            </w:tcMar>
          </w:tcPr>
          <w:p>
            <w:pPr>
              <w:spacing w:before="0" w:after="0"/>
              <w:jc w:val="left"/>
            </w:pPr>
            <w:r/>
            <w:r>
              <w:rPr>
                <w:rFonts w:ascii="Times New Roman" w:hAnsi="Times New Roman" w:eastAsia="Times New Roman"/>
                <w:sz w:val="16"/>
              </w:rPr>
              <w:t>Ранній прогноз використовує лише дані, доступні на відповідній стадії</w:t>
            </w:r>
          </w:p>
        </w:tc>
        <w:tc>
          <w:tcPr>
            <w:tcW w:type="dxa" w:w="3402"/>
            <w:vAlign w:val="top"/>
            <w:tcMar>
              <w:top w:w="60" w:type="dxa"/>
              <w:start w:w="70" w:type="dxa"/>
              <w:bottom w:w="60" w:type="dxa"/>
              <w:end w:w="70" w:type="dxa"/>
            </w:tcMar>
          </w:tcPr>
          <w:p>
            <w:pPr>
              <w:spacing w:before="0" w:after="0"/>
              <w:jc w:val="left"/>
            </w:pPr>
            <w:r/>
            <w:r>
              <w:rPr>
                <w:rFonts w:ascii="Times New Roman" w:hAnsi="Times New Roman" w:eastAsia="Times New Roman"/>
                <w:sz w:val="16"/>
              </w:rPr>
              <w:t>Витік інформації з майбутнього</w:t>
            </w:r>
          </w:p>
        </w:tc>
      </w:tr>
      <w:tr>
        <w:tc>
          <w:tcPr>
            <w:tcW w:type="dxa" w:w="2268"/>
            <w:vAlign w:val="top"/>
            <w:tcMar>
              <w:top w:w="60" w:type="dxa"/>
              <w:start w:w="70" w:type="dxa"/>
              <w:bottom w:w="60" w:type="dxa"/>
              <w:end w:w="70" w:type="dxa"/>
            </w:tcMar>
          </w:tcPr>
          <w:p>
            <w:pPr>
              <w:spacing w:before="0" w:after="0"/>
              <w:jc w:val="left"/>
            </w:pPr>
            <w:r/>
            <w:r>
              <w:rPr>
                <w:rFonts w:ascii="Times New Roman" w:hAnsi="Times New Roman" w:eastAsia="Times New Roman"/>
                <w:sz w:val="16"/>
              </w:rPr>
              <w:t>Версійність</w:t>
            </w:r>
          </w:p>
        </w:tc>
        <w:tc>
          <w:tcPr>
            <w:tcW w:type="dxa" w:w="3969"/>
            <w:vAlign w:val="top"/>
            <w:tcMar>
              <w:top w:w="60" w:type="dxa"/>
              <w:start w:w="70" w:type="dxa"/>
              <w:bottom w:w="60" w:type="dxa"/>
              <w:end w:w="70" w:type="dxa"/>
            </w:tcMar>
          </w:tcPr>
          <w:p>
            <w:pPr>
              <w:spacing w:before="0" w:after="0"/>
              <w:jc w:val="left"/>
            </w:pPr>
            <w:r/>
            <w:r>
              <w:rPr>
                <w:rFonts w:ascii="Times New Roman" w:hAnsi="Times New Roman" w:eastAsia="Times New Roman"/>
                <w:sz w:val="16"/>
              </w:rPr>
              <w:t>Кожне свідчення пов’язане з версією артефакту</w:t>
            </w:r>
          </w:p>
        </w:tc>
        <w:tc>
          <w:tcPr>
            <w:tcW w:type="dxa" w:w="3402"/>
            <w:vAlign w:val="top"/>
            <w:tcMar>
              <w:top w:w="60" w:type="dxa"/>
              <w:start w:w="70" w:type="dxa"/>
              <w:bottom w:w="60" w:type="dxa"/>
              <w:end w:w="70" w:type="dxa"/>
            </w:tcMar>
          </w:tcPr>
          <w:p>
            <w:pPr>
              <w:spacing w:before="0" w:after="0"/>
              <w:jc w:val="left"/>
            </w:pPr>
            <w:r/>
            <w:r>
              <w:rPr>
                <w:rFonts w:ascii="Times New Roman" w:hAnsi="Times New Roman" w:eastAsia="Times New Roman"/>
                <w:sz w:val="16"/>
              </w:rPr>
              <w:t>Використання застарілих результатів</w:t>
            </w:r>
          </w:p>
        </w:tc>
      </w:tr>
      <w:tr>
        <w:tc>
          <w:tcPr>
            <w:tcW w:type="dxa" w:w="2268"/>
            <w:vAlign w:val="top"/>
            <w:tcMar>
              <w:top w:w="60" w:type="dxa"/>
              <w:start w:w="70" w:type="dxa"/>
              <w:bottom w:w="60" w:type="dxa"/>
              <w:end w:w="70" w:type="dxa"/>
            </w:tcMar>
          </w:tcPr>
          <w:p>
            <w:pPr>
              <w:spacing w:before="0" w:after="0"/>
              <w:jc w:val="left"/>
            </w:pPr>
            <w:r/>
            <w:r>
              <w:rPr>
                <w:rFonts w:ascii="Times New Roman" w:hAnsi="Times New Roman" w:eastAsia="Times New Roman"/>
                <w:sz w:val="16"/>
              </w:rPr>
              <w:t>Трасованість</w:t>
            </w:r>
          </w:p>
        </w:tc>
        <w:tc>
          <w:tcPr>
            <w:tcW w:type="dxa" w:w="3969"/>
            <w:vAlign w:val="top"/>
            <w:tcMar>
              <w:top w:w="60" w:type="dxa"/>
              <w:start w:w="70" w:type="dxa"/>
              <w:bottom w:w="60" w:type="dxa"/>
              <w:end w:w="70" w:type="dxa"/>
            </w:tcMar>
          </w:tcPr>
          <w:p>
            <w:pPr>
              <w:spacing w:before="0" w:after="0"/>
              <w:jc w:val="left"/>
            </w:pPr>
            <w:r/>
            <w:r>
              <w:rPr>
                <w:rFonts w:ascii="Times New Roman" w:hAnsi="Times New Roman" w:eastAsia="Times New Roman"/>
                <w:sz w:val="16"/>
              </w:rPr>
              <w:t>Результат можна простежити до конкретної вимоги та доказу</w:t>
            </w:r>
          </w:p>
        </w:tc>
        <w:tc>
          <w:tcPr>
            <w:tcW w:type="dxa" w:w="3402"/>
            <w:vAlign w:val="top"/>
            <w:tcMar>
              <w:top w:w="60" w:type="dxa"/>
              <w:start w:w="70" w:type="dxa"/>
              <w:bottom w:w="60" w:type="dxa"/>
              <w:end w:w="70" w:type="dxa"/>
            </w:tcMar>
          </w:tcPr>
          <w:p>
            <w:pPr>
              <w:spacing w:before="0" w:after="0"/>
              <w:jc w:val="left"/>
            </w:pPr>
            <w:r/>
            <w:r>
              <w:rPr>
                <w:rFonts w:ascii="Times New Roman" w:hAnsi="Times New Roman" w:eastAsia="Times New Roman"/>
                <w:sz w:val="16"/>
              </w:rPr>
              <w:t>Непояснювані оцінки</w:t>
            </w:r>
          </w:p>
        </w:tc>
      </w:tr>
      <w:tr>
        <w:tc>
          <w:tcPr>
            <w:tcW w:type="dxa" w:w="2268"/>
            <w:vAlign w:val="top"/>
            <w:tcMar>
              <w:top w:w="60" w:type="dxa"/>
              <w:start w:w="70" w:type="dxa"/>
              <w:bottom w:w="60" w:type="dxa"/>
              <w:end w:w="70" w:type="dxa"/>
            </w:tcMar>
          </w:tcPr>
          <w:p>
            <w:pPr>
              <w:spacing w:before="0" w:after="0"/>
              <w:jc w:val="left"/>
            </w:pPr>
            <w:r/>
            <w:r>
              <w:rPr>
                <w:rFonts w:ascii="Times New Roman" w:hAnsi="Times New Roman" w:eastAsia="Times New Roman"/>
                <w:sz w:val="16"/>
              </w:rPr>
              <w:t>Некомпенсованість критичних ризиків</w:t>
            </w:r>
          </w:p>
        </w:tc>
        <w:tc>
          <w:tcPr>
            <w:tcW w:type="dxa" w:w="3969"/>
            <w:vAlign w:val="top"/>
            <w:tcMar>
              <w:top w:w="60" w:type="dxa"/>
              <w:start w:w="70" w:type="dxa"/>
              <w:bottom w:w="60" w:type="dxa"/>
              <w:end w:w="70" w:type="dxa"/>
            </w:tcMar>
          </w:tcPr>
          <w:p>
            <w:pPr>
              <w:spacing w:before="0" w:after="0"/>
              <w:jc w:val="left"/>
            </w:pPr>
            <w:r/>
            <w:r>
              <w:rPr>
                <w:rFonts w:ascii="Times New Roman" w:hAnsi="Times New Roman" w:eastAsia="Times New Roman"/>
                <w:sz w:val="16"/>
              </w:rPr>
              <w:t>Критичний локальний ризик не маскується середнім балом</w:t>
            </w:r>
          </w:p>
        </w:tc>
        <w:tc>
          <w:tcPr>
            <w:tcW w:type="dxa" w:w="3402"/>
            <w:vAlign w:val="top"/>
            <w:tcMar>
              <w:top w:w="60" w:type="dxa"/>
              <w:start w:w="70" w:type="dxa"/>
              <w:bottom w:w="60" w:type="dxa"/>
              <w:end w:w="70" w:type="dxa"/>
            </w:tcMar>
          </w:tcPr>
          <w:p>
            <w:pPr>
              <w:spacing w:before="0" w:after="0"/>
              <w:jc w:val="left"/>
            </w:pPr>
            <w:r/>
            <w:r>
              <w:rPr>
                <w:rFonts w:ascii="Times New Roman" w:hAnsi="Times New Roman" w:eastAsia="Times New Roman"/>
                <w:sz w:val="16"/>
              </w:rPr>
              <w:t>Хибно позитивне рішення</w:t>
            </w:r>
          </w:p>
        </w:tc>
      </w:tr>
      <w:tr>
        <w:tc>
          <w:tcPr>
            <w:tcW w:type="dxa" w:w="2268"/>
            <w:vAlign w:val="top"/>
            <w:tcMar>
              <w:top w:w="60" w:type="dxa"/>
              <w:start w:w="70" w:type="dxa"/>
              <w:bottom w:w="60" w:type="dxa"/>
              <w:end w:w="70" w:type="dxa"/>
            </w:tcMar>
          </w:tcPr>
          <w:p>
            <w:pPr>
              <w:spacing w:before="0" w:after="0"/>
              <w:jc w:val="left"/>
            </w:pPr>
            <w:r/>
            <w:r>
              <w:rPr>
                <w:rFonts w:ascii="Times New Roman" w:hAnsi="Times New Roman" w:eastAsia="Times New Roman"/>
                <w:sz w:val="16"/>
              </w:rPr>
              <w:t>Повторне оцінювання після змін</w:t>
            </w:r>
          </w:p>
        </w:tc>
        <w:tc>
          <w:tcPr>
            <w:tcW w:type="dxa" w:w="3969"/>
            <w:vAlign w:val="top"/>
            <w:tcMar>
              <w:top w:w="60" w:type="dxa"/>
              <w:start w:w="70" w:type="dxa"/>
              <w:bottom w:w="60" w:type="dxa"/>
              <w:end w:w="70" w:type="dxa"/>
            </w:tcMar>
          </w:tcPr>
          <w:p>
            <w:pPr>
              <w:spacing w:before="0" w:after="0"/>
              <w:jc w:val="left"/>
            </w:pPr>
            <w:r>
              <w:rPr>
                <w:rFonts w:ascii="Times New Roman" w:hAnsi="Times New Roman" w:eastAsia="Times New Roman"/>
                <w:sz w:val="16"/>
              </w:rPr>
              <w:t>Зміна запускає аналіз впливу і перерахунок залежних компонентів</w:t>
            </w:r>
          </w:p>
        </w:tc>
        <w:tc>
          <w:tcPr>
            <w:tcW w:type="dxa" w:w="3402"/>
            <w:vAlign w:val="top"/>
            <w:tcMar>
              <w:top w:w="60" w:type="dxa"/>
              <w:start w:w="70" w:type="dxa"/>
              <w:bottom w:w="60" w:type="dxa"/>
              <w:end w:w="70" w:type="dxa"/>
            </w:tcMar>
          </w:tcPr>
          <w:p>
            <w:pPr>
              <w:spacing w:before="0" w:after="0"/>
              <w:jc w:val="left"/>
            </w:pPr>
            <w:r/>
            <w:r>
              <w:rPr>
                <w:rFonts w:ascii="Times New Roman" w:hAnsi="Times New Roman" w:eastAsia="Times New Roman"/>
                <w:sz w:val="16"/>
              </w:rPr>
              <w:t>Розрив між актуальною специфікацією та оцінкою</w:t>
            </w:r>
          </w:p>
        </w:tc>
      </w:tr>
    </w:tbl>
    <w:p/>
    <w:p>
      <w:pPr>
        <w:spacing w:line="360" w:lineRule="auto" w:before="0" w:after="0"/>
        <w:ind w:firstLine="709"/>
        <w:jc w:val="both"/>
      </w:pPr>
      <w:r>
        <w:rPr>
          <w:rFonts w:ascii="Times New Roman" w:hAnsi="Times New Roman" w:eastAsia="Times New Roman"/>
          <w:b w:val="0"/>
          <w:sz w:val="28"/>
        </w:rPr>
        <w:t>Запропоновану процесну модель можна подати як композицію п’яти взаємопов’язаних компонентів: життєвих стадій T; множини версіонованих артефактів 𝒜; системи доказових профілів ℰ; множини контрольних точок 𝒦; правил переходу та зворотного зв’язку 𝒰. Для кожної характеристики qⱼ модель визначає не тільки значення оцінки, а й контекст її формування. У компактному вигляді:</w:t>
      </w:r>
    </w:p>
    <w:p>
      <w:pPr>
        <w:pStyle w:val="Eq"/>
        <w:spacing w:before="60" w:after="60"/>
        <w:jc w:val="center"/>
      </w:pPr>
      <w:r>
        <w:rPr>
          <w:rFonts w:ascii="Times New Roman" w:hAnsi="Times New Roman" w:eastAsia="Times New Roman"/>
          <w:sz w:val="28"/>
        </w:rPr>
        <w:t>M_process = (𝒯, 𝒜, ℰ, 𝒦, 𝒰, C).</w:t>
      </w:r>
    </w:p>
    <w:p>
      <w:pPr>
        <w:spacing w:line="360" w:lineRule="auto" w:before="0" w:after="0"/>
        <w:ind w:firstLine="709"/>
        <w:jc w:val="both"/>
      </w:pPr>
      <w:r>
        <w:rPr>
          <w:rFonts w:ascii="Times New Roman" w:hAnsi="Times New Roman" w:eastAsia="Times New Roman"/>
          <w:b w:val="0"/>
          <w:sz w:val="28"/>
        </w:rPr>
        <w:t>Компонент 𝒯 задає часову структуру; 𝒜 — вимоги, архітектуру, код, тести та експлуатаційні артефакти з їх версіями; ℰ — метричні, статичні та динамічні свідчення; 𝒦 — контрольні точки й умови прийняття рішень; 𝒰 — правила повторного формування стану після появи нових даних або коригування; C — контекст, який визначає критичність характеристик, допустимі пороги та вимоги до доказової достатності.</w:t>
      </w:r>
    </w:p>
    <w:p>
      <w:pPr>
        <w:spacing w:line="360" w:lineRule="auto" w:before="0" w:after="0"/>
        <w:ind w:firstLine="709"/>
        <w:jc w:val="both"/>
      </w:pPr>
      <w:r>
        <w:rPr>
          <w:rFonts w:ascii="Times New Roman" w:hAnsi="Times New Roman" w:eastAsia="Times New Roman"/>
          <w:b w:val="0"/>
          <w:sz w:val="28"/>
        </w:rPr>
        <w:t>Науково-методична роль M_process полягає у тому, що вона усуває одну з проблем раннього оцінювання: одна й та сама числова оцінка без інформації про стадію та доступні докази може мати різний зміст. Модель робить стадію, повноту свідчень, версію та відкриті ризики частиною самого результату. Це створює основу для наступного підрозділу 4.2, де необхідно визначити математичну модель переходу від ознак і доказів до характеристико-специфічного профілю якості та, за потреби, правил його контекстного агрегування.</w:t>
      </w:r>
    </w:p>
    <w:p>
      <w:pPr>
        <w:spacing w:line="360" w:lineRule="auto" w:before="0" w:after="0"/>
        <w:ind w:firstLine="709"/>
        <w:jc w:val="both"/>
      </w:pPr>
      <w:r>
        <w:rPr>
          <w:rFonts w:ascii="Times New Roman" w:hAnsi="Times New Roman" w:eastAsia="Times New Roman"/>
          <w:b w:val="0"/>
          <w:sz w:val="28"/>
        </w:rPr>
        <w:t>Таким чином, у підрозділі побудовано процесну модель оцінювання якості програмного забезпечення, яка охоплює стадії від формування вимог до експлуатації, визначає склад доступних на кожній стадії свідчень, вводить версіонований стан оцінювання Pⱼ(τ, v), механізм його оновлення, контрольні точки та правила зворотного зв’язку. Модель не прив’язана до каскадного життєвого циклу і може застосовуватися ітеративно для релізів або інкрементів. Її результатом є не одноразовий бал, а послідовність трасованих станів оцінювання, які можуть бути порівняні з фактичними даними та використані для управління ризиками і планування коригувальних дій.</w:t>
      </w:r>
    </w:p>
    <w:p>
      <w:pPr>
        <w:pStyle w:val="Heading1"/>
      </w:pPr>
      <w:r>
        <w:t>Список джерел до підрозділу 4.1</w:t>
      </w:r>
    </w:p>
    <w:p>
      <w:r>
        <w:t>4. ISO/IEC 25010:2023. Systems and software engineering — Systems and software Quality Requirements and Evaluation (SQuaRE) — Product quality model. Geneva: ISO, 2023.</w:t>
      </w:r>
    </w:p>
    <w:p>
      <w:r>
        <w:t>10. ISO/IEC 25030:2019. Systems and software engineering — Systems and software Quality Requirements and Evaluation (SQuaRE) — Quality requirements framework. Geneva: ISO, 2019.</w:t>
      </w:r>
    </w:p>
    <w:p>
      <w:r>
        <w:t>11. ISO/IEC 25040:2024. Systems and software engineering — Systems and software Quality Requirements and Evaluation (SQuaRE) — Quality evaluation framework. Geneva: ISO, 2024.</w:t>
      </w:r>
    </w:p>
    <w:p>
      <w:r>
        <w:t>15. ISO/IEC/IEEE 29148:2018. Systems and software engineering — Life cycle processes — Requirements engineering. Geneva: ISO, 2018.</w:t>
      </w:r>
    </w:p>
    <w:p>
      <w:r>
        <w:t>20. ISO/IEC/IEEE 12207:2026. Systems and software engineering — Software life cycle processes. Geneva: ISO, 2026.</w:t>
      </w:r>
    </w:p>
    <w:p>
      <w:r>
        <w:t>21. ISO/IEC/IEEE 15288:2023. Systems and software engineering — System life cycle processes. Geneva: ISO, 2023.</w:t>
      </w:r>
    </w:p>
    <w:p>
      <w:r>
        <w:t>38. ISO/IEC/IEEE 42010:2022. Software, systems and enterprise — Architecture description. Geneva: ISO, 2022.</w:t>
      </w:r>
    </w:p>
    <w:p>
      <w:r>
        <w:t>39. ISO/IEC/IEEE 42030:2019. Software, systems and enterprise — Architecture evaluation framework. Geneva: ISO, 2019.</w:t>
      </w:r>
    </w:p>
    <w:sectPr w:rsidR="00FC693F" w:rsidRPr="0006063C" w:rsidSect="00034616">
      <w:pgSz w:w="11906" w:h="16838"/>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
    <w:name w:val="Eq"/>
    <w:pPr>
      <w:spacing w:line="360" w:lineRule="auto" w:before="60" w:after="60"/>
      <w:jc w:val="center"/>
    </w:pPr>
    <w:rPr>
      <w:rFonts w:ascii="Times New Roman" w:hAnsi="Times New Roman"/>
      <w:i/>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