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jc w:val="left"/>
      </w:pPr>
      <w:r>
        <w:rPr>
          <w:rFonts w:ascii="Times New Roman" w:hAnsi="Times New Roman" w:eastAsia="Times New Roman"/>
          <w:b/>
          <w:sz w:val="28"/>
        </w:rPr>
        <w:t>4.2. Модель якості програмного забезпечення на основі характеристик вимог і специфікацій</w:t>
      </w:r>
    </w:p>
    <w:p>
      <w:pPr>
        <w:spacing w:line="360" w:lineRule="auto" w:before="0" w:after="0"/>
        <w:ind w:firstLine="709"/>
        <w:jc w:val="both"/>
      </w:pPr>
      <w:r>
        <w:rPr>
          <w:rFonts w:ascii="Times New Roman" w:hAnsi="Times New Roman" w:eastAsia="Times New Roman"/>
          <w:sz w:val="28"/>
        </w:rPr>
        <w:t>Процесна модель M_process, побудована у підрозділі 4.1, визначає часову та інформаційну організацію оцінювання, однак сама по собі не задає математичного відображення від характеристик вимог і накопичених свідчень до оцінок якості програмного продукту. Завдання підрозділу 4.2 полягає у побудові моделі якості, яка формалізує цей перехід, зберігаючи характеристико-специфічність, контекст проєкту, достатність доказів та можливість подальшої експериментальної калібрації.</w:t>
      </w:r>
    </w:p>
    <w:p>
      <w:pPr>
        <w:spacing w:line="360" w:lineRule="auto" w:before="0" w:after="0"/>
        <w:ind w:firstLine="709"/>
        <w:jc w:val="both"/>
      </w:pPr>
      <w:r>
        <w:rPr>
          <w:rFonts w:ascii="Times New Roman" w:hAnsi="Times New Roman" w:eastAsia="Times New Roman"/>
          <w:sz w:val="28"/>
        </w:rPr>
        <w:t>ISO/IEC 25010:2023 визначає якість програмного продукту через дев’ять характеристик і підхарактеристики, що використовуються як референтна структура для специфікації, вимірювання та оцінювання якості продуктів [4]. ISO/IEC 25030:2019 визначає рамку формування та використання вимог до якості, а ISO/IEC 25023:2016 задає базовий набір мір для кількісного оцінювання якості програмного продукту [10; 9]. У запропонованій моделі ці стандарти використовуються не як готова прогнозна формула, а як нормативна структура цільових характеристик і фактичних показників, з якими надалі зіставляються характеристики вимог.</w:t>
      </w:r>
    </w:p>
    <w:p>
      <w:pPr/>
      <w:r>
        <w:t>Операціоналізовані моделі якості, зокрема підхід Quamoco, демонструють практичну цінність явного переходу від абстрактних характеристик до вимірюваних факторів і правил оцінювання [14]. У цій роботі цей принцип розширюється на ранній етап: джерелом предикторів є не лише властивості реалізованого продукту, а характеристики вимог, трасування та інші артефакти, доступні до або в процесі реалізації.</w:t>
      </w:r>
    </w:p>
    <w:p>
      <w:pPr>
        <w:spacing w:line="360" w:lineRule="auto" w:before="0" w:after="0"/>
        <w:ind w:firstLine="709"/>
        <w:jc w:val="both"/>
      </w:pPr>
      <w:r>
        <w:rPr>
          <w:rFonts w:ascii="Times New Roman" w:hAnsi="Times New Roman" w:eastAsia="Times New Roman"/>
          <w:sz w:val="28"/>
        </w:rPr>
        <w:t>Принциповим є розмежування двох рівнів. Якість вимоги характеризує властивості самого інформаційного артефакту: повноту, однозначність, узгодженість, перевірюваність, трасованість та інші характеристики, формалізовані у Розділі 2. Продуктова якість характеризує властивості реалізованого програмного продукту. Модель не ототожнює ці рівні, а розглядає характеристики вимог як ранні предиктори, фактори ризику та джерела інформації для оцінювання майбутньої якості програмного продукту.</w:t>
      </w:r>
    </w:p>
    <w:p>
      <w:pPr>
        <w:spacing w:line="360" w:lineRule="auto" w:before="0" w:after="0"/>
        <w:ind w:firstLine="709"/>
        <w:jc w:val="both"/>
      </w:pPr>
      <w:r>
        <w:rPr>
          <w:rFonts w:ascii="Times New Roman" w:hAnsi="Times New Roman" w:eastAsia="Times New Roman"/>
          <w:sz w:val="28"/>
        </w:rPr>
        <w:t>Для формалізації введемо чотирирівневу структуру R → 𝒫 → M → Q. Множина R = {r₁, …, rₙ} містить вимоги і пов’язані елементи специфікації; 𝒫 = {p₁, …, pₘ} — властивості якості вимог; M = {m₁, …, mₚ} — вимірювані метрики та індикатори; Q = {q₁, …, q₉} — характеристики якості програмного продукту ISO/IEC 25010:2023. Перші три рівні утворюють інформаційний опис специфікації, а четвертий — цільовий простір оцінювання.</w:t>
      </w:r>
    </w:p>
    <w:p>
      <w:pPr>
        <w:spacing w:before="60" w:after="60"/>
        <w:jc w:val="center"/>
      </w:pPr>
      <w:r>
        <w:rPr>
          <w:rFonts w:ascii="Times New Roman" w:hAnsi="Times New Roman" w:eastAsia="Times New Roman"/>
          <w:sz w:val="28"/>
        </w:rPr>
        <w:t>R → 𝒫 → M → Q.</w:t>
      </w:r>
    </w:p>
    <w:p>
      <w:pPr>
        <w:spacing w:before="60" w:after="60"/>
        <w:jc w:val="center"/>
      </w:pPr>
      <w:r>
        <w:rPr>
          <w:rFonts w:ascii="Times New Roman" w:hAnsi="Times New Roman" w:eastAsia="Times New Roman"/>
          <w:sz w:val="28"/>
        </w:rPr>
        <w:t>Q = {q₁, q₂, …, q₉}.</w:t>
      </w:r>
    </w:p>
    <w:p>
      <w:pPr>
        <w:spacing w:before="80" w:after="60"/>
        <w:jc w:val="left"/>
      </w:pPr>
      <w:r>
        <w:rPr>
          <w:rFonts w:ascii="Times New Roman" w:hAnsi="Times New Roman" w:eastAsia="Times New Roman"/>
          <w:sz w:val="28"/>
        </w:rPr>
        <w:t>Таблиця 4.5 – Рівні запропонованої моделі якості</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57"/>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Рівень</w:t>
            </w:r>
          </w:p>
        </w:tc>
        <w:tc>
          <w:tcPr>
            <w:tcW w:type="dxa" w:w="192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Формальне подання</w:t>
            </w:r>
          </w:p>
        </w:tc>
        <w:tc>
          <w:tcPr>
            <w:tcW w:type="dxa" w:w="3515"/>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Зміст</w:t>
            </w:r>
          </w:p>
        </w:tc>
        <w:tc>
          <w:tcPr>
            <w:tcW w:type="dxa" w:w="243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Роль у моделі</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Вимоги</w:t>
            </w:r>
          </w:p>
        </w:tc>
        <w:tc>
          <w:tcPr>
            <w:tcW w:type="dxa" w:w="1928"/>
            <w:vAlign w:val="top"/>
            <w:tcMar>
              <w:top w:w="55" w:type="dxa"/>
              <w:start w:w="65" w:type="dxa"/>
              <w:bottom w:w="55" w:type="dxa"/>
              <w:end w:w="65" w:type="dxa"/>
            </w:tcMar>
          </w:tcPr>
          <w:p>
            <w:pPr>
              <w:spacing w:before="0" w:after="0"/>
              <w:jc w:val="left"/>
            </w:pPr>
            <w:r/>
            <w:r>
              <w:rPr>
                <w:rFonts w:ascii="Times New Roman" w:hAnsi="Times New Roman" w:eastAsia="Times New Roman"/>
                <w:sz w:val="16"/>
              </w:rPr>
              <w:t>R = {rᵢ}</w:t>
            </w:r>
          </w:p>
        </w:tc>
        <w:tc>
          <w:tcPr>
            <w:tcW w:type="dxa" w:w="3515"/>
            <w:vAlign w:val="top"/>
            <w:tcMar>
              <w:top w:w="55" w:type="dxa"/>
              <w:start w:w="65" w:type="dxa"/>
              <w:bottom w:w="55" w:type="dxa"/>
              <w:end w:w="65" w:type="dxa"/>
            </w:tcMar>
          </w:tcPr>
          <w:p>
            <w:pPr>
              <w:spacing w:before="0" w:after="0"/>
              <w:jc w:val="left"/>
            </w:pPr>
            <w:r/>
            <w:r>
              <w:rPr>
                <w:rFonts w:ascii="Times New Roman" w:hAnsi="Times New Roman" w:eastAsia="Times New Roman"/>
                <w:sz w:val="16"/>
              </w:rPr>
              <w:t>Функціональні вимоги, вимоги до якості, критерії, обмеження</w:t>
            </w:r>
          </w:p>
        </w:tc>
        <w:tc>
          <w:tcPr>
            <w:tcW w:type="dxa" w:w="2438"/>
            <w:vAlign w:val="top"/>
            <w:tcMar>
              <w:top w:w="55" w:type="dxa"/>
              <w:start w:w="65" w:type="dxa"/>
              <w:bottom w:w="55" w:type="dxa"/>
              <w:end w:w="65" w:type="dxa"/>
            </w:tcMar>
          </w:tcPr>
          <w:p>
            <w:pPr>
              <w:spacing w:before="0" w:after="0"/>
              <w:jc w:val="left"/>
            </w:pPr>
            <w:r/>
            <w:r>
              <w:rPr>
                <w:rFonts w:ascii="Times New Roman" w:hAnsi="Times New Roman" w:eastAsia="Times New Roman"/>
                <w:sz w:val="16"/>
              </w:rPr>
              <w:t>Первинне джерело інформації</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Властивості вимог</w:t>
            </w:r>
          </w:p>
        </w:tc>
        <w:tc>
          <w:tcPr>
            <w:tcW w:type="dxa" w:w="1928"/>
            <w:vAlign w:val="top"/>
            <w:tcMar>
              <w:top w:w="55" w:type="dxa"/>
              <w:start w:w="65" w:type="dxa"/>
              <w:bottom w:w="55" w:type="dxa"/>
              <w:end w:w="65" w:type="dxa"/>
            </w:tcMar>
          </w:tcPr>
          <w:p>
            <w:pPr>
              <w:spacing w:before="0" w:after="0"/>
              <w:jc w:val="left"/>
            </w:pPr>
            <w:r>
              <w:rPr>
                <w:rFonts w:ascii="Times New Roman" w:hAnsi="Times New Roman" w:eastAsia="Times New Roman"/>
                <w:sz w:val="16"/>
              </w:rPr>
              <w:t>𝒫 = {pₖ}</w:t>
            </w:r>
          </w:p>
        </w:tc>
        <w:tc>
          <w:tcPr>
            <w:tcW w:type="dxa" w:w="3515"/>
            <w:vAlign w:val="top"/>
            <w:tcMar>
              <w:top w:w="55" w:type="dxa"/>
              <w:start w:w="65" w:type="dxa"/>
              <w:bottom w:w="55" w:type="dxa"/>
              <w:end w:w="65" w:type="dxa"/>
            </w:tcMar>
          </w:tcPr>
          <w:p>
            <w:pPr>
              <w:spacing w:before="0" w:after="0"/>
              <w:jc w:val="left"/>
            </w:pPr>
            <w:r/>
            <w:r>
              <w:rPr>
                <w:rFonts w:ascii="Times New Roman" w:hAnsi="Times New Roman" w:eastAsia="Times New Roman"/>
                <w:sz w:val="16"/>
              </w:rPr>
              <w:t>Повнота, однозначність, узгодженість, перевірюваність, трасованість тощо</w:t>
            </w:r>
          </w:p>
        </w:tc>
        <w:tc>
          <w:tcPr>
            <w:tcW w:type="dxa" w:w="2438"/>
            <w:vAlign w:val="top"/>
            <w:tcMar>
              <w:top w:w="55" w:type="dxa"/>
              <w:start w:w="65" w:type="dxa"/>
              <w:bottom w:w="55" w:type="dxa"/>
              <w:end w:w="65" w:type="dxa"/>
            </w:tcMar>
          </w:tcPr>
          <w:p>
            <w:pPr>
              <w:spacing w:before="0" w:after="0"/>
              <w:jc w:val="left"/>
            </w:pPr>
            <w:r/>
            <w:r>
              <w:rPr>
                <w:rFonts w:ascii="Times New Roman" w:hAnsi="Times New Roman" w:eastAsia="Times New Roman"/>
                <w:sz w:val="16"/>
              </w:rPr>
              <w:t>Опис якості артефакту вимог</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Метрики</w:t>
            </w:r>
          </w:p>
        </w:tc>
        <w:tc>
          <w:tcPr>
            <w:tcW w:type="dxa" w:w="1928"/>
            <w:vAlign w:val="top"/>
            <w:tcMar>
              <w:top w:w="55" w:type="dxa"/>
              <w:start w:w="65" w:type="dxa"/>
              <w:bottom w:w="55" w:type="dxa"/>
              <w:end w:w="65" w:type="dxa"/>
            </w:tcMar>
          </w:tcPr>
          <w:p>
            <w:pPr>
              <w:spacing w:before="0" w:after="0"/>
              <w:jc w:val="left"/>
            </w:pPr>
            <w:r/>
            <w:r>
              <w:rPr>
                <w:rFonts w:ascii="Times New Roman" w:hAnsi="Times New Roman" w:eastAsia="Times New Roman"/>
                <w:sz w:val="16"/>
              </w:rPr>
              <w:t>M = {mₗ}</w:t>
            </w:r>
          </w:p>
        </w:tc>
        <w:tc>
          <w:tcPr>
            <w:tcW w:type="dxa" w:w="3515"/>
            <w:vAlign w:val="top"/>
            <w:tcMar>
              <w:top w:w="55" w:type="dxa"/>
              <w:start w:w="65" w:type="dxa"/>
              <w:bottom w:w="55" w:type="dxa"/>
              <w:end w:w="65" w:type="dxa"/>
            </w:tcMar>
          </w:tcPr>
          <w:p>
            <w:pPr>
              <w:spacing w:before="0" w:after="0"/>
              <w:jc w:val="left"/>
            </w:pPr>
            <w:r/>
            <w:r>
              <w:rPr>
                <w:rFonts w:ascii="Times New Roman" w:hAnsi="Times New Roman" w:eastAsia="Times New Roman"/>
                <w:sz w:val="16"/>
              </w:rPr>
              <w:t>Нормовані числові індикатори, сформовані у 2.3</w:t>
            </w:r>
          </w:p>
        </w:tc>
        <w:tc>
          <w:tcPr>
            <w:tcW w:type="dxa" w:w="2438"/>
            <w:vAlign w:val="top"/>
            <w:tcMar>
              <w:top w:w="55" w:type="dxa"/>
              <w:start w:w="65" w:type="dxa"/>
              <w:bottom w:w="55" w:type="dxa"/>
              <w:end w:w="65" w:type="dxa"/>
            </w:tcMar>
          </w:tcPr>
          <w:p>
            <w:pPr>
              <w:spacing w:before="0" w:after="0"/>
              <w:jc w:val="left"/>
            </w:pPr>
            <w:r/>
            <w:r>
              <w:rPr>
                <w:rFonts w:ascii="Times New Roman" w:hAnsi="Times New Roman" w:eastAsia="Times New Roman"/>
                <w:sz w:val="16"/>
              </w:rPr>
              <w:t>Машинно- та статистично оброблювані ознаки</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Продуктова якість</w:t>
            </w:r>
          </w:p>
        </w:tc>
        <w:tc>
          <w:tcPr>
            <w:tcW w:type="dxa" w:w="1928"/>
            <w:vAlign w:val="top"/>
            <w:tcMar>
              <w:top w:w="55" w:type="dxa"/>
              <w:start w:w="65" w:type="dxa"/>
              <w:bottom w:w="55" w:type="dxa"/>
              <w:end w:w="65" w:type="dxa"/>
            </w:tcMar>
          </w:tcPr>
          <w:p>
            <w:pPr>
              <w:spacing w:before="0" w:after="0"/>
              <w:jc w:val="left"/>
            </w:pPr>
            <w:r/>
            <w:r>
              <w:rPr>
                <w:rFonts w:ascii="Times New Roman" w:hAnsi="Times New Roman" w:eastAsia="Times New Roman"/>
                <w:sz w:val="16"/>
              </w:rPr>
              <w:t>Q = {qⱼ}</w:t>
            </w:r>
          </w:p>
        </w:tc>
        <w:tc>
          <w:tcPr>
            <w:tcW w:type="dxa" w:w="3515"/>
            <w:vAlign w:val="top"/>
            <w:tcMar>
              <w:top w:w="55" w:type="dxa"/>
              <w:start w:w="65" w:type="dxa"/>
              <w:bottom w:w="55" w:type="dxa"/>
              <w:end w:w="65" w:type="dxa"/>
            </w:tcMar>
          </w:tcPr>
          <w:p>
            <w:pPr>
              <w:spacing w:before="0" w:after="0"/>
              <w:jc w:val="left"/>
            </w:pPr>
            <w:r/>
            <w:r>
              <w:rPr>
                <w:rFonts w:ascii="Times New Roman" w:hAnsi="Times New Roman" w:eastAsia="Times New Roman"/>
                <w:sz w:val="16"/>
              </w:rPr>
              <w:t>Дев’ять характеристик ISO/IEC 25010:2023</w:t>
            </w:r>
          </w:p>
        </w:tc>
        <w:tc>
          <w:tcPr>
            <w:tcW w:type="dxa" w:w="2438"/>
            <w:vAlign w:val="top"/>
            <w:tcMar>
              <w:top w:w="55" w:type="dxa"/>
              <w:start w:w="65" w:type="dxa"/>
              <w:bottom w:w="55" w:type="dxa"/>
              <w:end w:w="65" w:type="dxa"/>
            </w:tcMar>
          </w:tcPr>
          <w:p>
            <w:pPr>
              <w:spacing w:before="0" w:after="0"/>
              <w:jc w:val="left"/>
            </w:pPr>
            <w:r/>
            <w:r>
              <w:rPr>
                <w:rFonts w:ascii="Times New Roman" w:hAnsi="Times New Roman" w:eastAsia="Times New Roman"/>
                <w:sz w:val="16"/>
              </w:rPr>
              <w:t>Цільовий простір прогнозування й оцінювання</w:t>
            </w:r>
          </w:p>
        </w:tc>
      </w:tr>
    </w:tbl>
    <w:p/>
    <w:p>
      <w:pPr>
        <w:spacing w:line="360" w:lineRule="auto" w:before="0" w:after="0"/>
        <w:ind w:firstLine="709"/>
        <w:jc w:val="both"/>
      </w:pPr>
      <w:r>
        <w:rPr>
          <w:rFonts w:ascii="Times New Roman" w:hAnsi="Times New Roman" w:eastAsia="Times New Roman"/>
          <w:sz w:val="28"/>
        </w:rPr>
        <w:t>Зв’язок між вимогами та характеристиками Q не є взаємно однозначним. Одна вимога може стосуватися декількох характеристик, а одна характеристика може визначатися великою множиною функціональних, якісних та обмежувальних вимог. Тому використовується введена у Розділі 2 матриця семантичної належності G = [gᵢⱼ]. На її основі для кожної qⱼ формується релевантна множина Rⱼ і характеристико-специфічний метричний опис Mⱼ. Таким способом глобальна якість специфікації не приховує локальний дефіцит інформації у критичній підмножині вимог.</w:t>
      </w:r>
    </w:p>
    <w:p>
      <w:pPr>
        <w:spacing w:line="360" w:lineRule="auto" w:before="0" w:after="0"/>
        <w:ind w:firstLine="709"/>
        <w:jc w:val="both"/>
      </w:pPr>
      <w:r>
        <w:rPr>
          <w:rFonts w:ascii="Times New Roman" w:hAnsi="Times New Roman" w:eastAsia="Times New Roman"/>
          <w:sz w:val="28"/>
        </w:rPr>
        <w:t>Для кожної характеристики qⱼ модель формує вхідний простір ознак 𝒳ⱼ. Він включає метричний опис вимог, статичні свідчення, доступні на поточній стадії процесу, а в уточнювальному режимі — динамічні свідчення. Відповідно до принципу часової чистоти, визначеного в 4.1, склад 𝒳ⱼ залежить від стадії τ. У ранньому режимі динамічні спостереження не включаються до вхідного вектора, якщо вони надалі використовуються як незалежний критерій перевірки прогнозу.</w:t>
      </w:r>
    </w:p>
    <w:p>
      <w:pPr>
        <w:spacing w:before="60" w:after="60"/>
        <w:jc w:val="center"/>
      </w:pPr>
      <w:r>
        <w:rPr>
          <w:rFonts w:ascii="Times New Roman" w:hAnsi="Times New Roman" w:eastAsia="Times New Roman"/>
          <w:sz w:val="28"/>
        </w:rPr>
        <w:t>Xⱼ(τ, v) = Φⱼ(Zⱼ, Eⱼˢᵗᵃᵗ(τ, v), Eⱼᵈʸⁿ(τ, v), C, Bⱼ).</w:t>
      </w:r>
    </w:p>
    <w:p>
      <w:pPr>
        <w:spacing w:line="360" w:lineRule="auto" w:before="0" w:after="0"/>
        <w:ind w:firstLine="709"/>
        <w:jc w:val="both"/>
      </w:pPr>
      <w:r>
        <w:rPr>
          <w:rFonts w:ascii="Times New Roman" w:hAnsi="Times New Roman" w:eastAsia="Times New Roman"/>
          <w:sz w:val="28"/>
        </w:rPr>
        <w:t>Оператор Φⱼ виконує не прогнозування, а узгоджене формування ознак: перевірку застосовності, маскування недоступних компонентів, нормування, приведення напрямку шкал до спільної інтерпретації та підготовку характеристико-специфічного вектора. Якщо певне свідчення недоступне на стадії τ, воно не замінюється нулем, а його відсутність зберігається через маску доступності. Це дозволяє одній моделі підтримувати різні стадії життєвого циклу без семантичного змішування “погано” і “ще невідомо”.</w:t>
      </w:r>
    </w:p>
    <w:p>
      <w:pPr>
        <w:spacing w:line="360" w:lineRule="auto" w:before="0" w:after="0"/>
        <w:ind w:firstLine="709"/>
        <w:jc w:val="both"/>
      </w:pPr>
      <w:r>
        <w:rPr>
          <w:rFonts w:ascii="Times New Roman" w:hAnsi="Times New Roman" w:eastAsia="Times New Roman"/>
          <w:sz w:val="28"/>
        </w:rPr>
        <w:t>Власне оцінювання характеристики qⱼ задається сімейством функцій Fθⱼ. На відміну від фіксованої експертної суми, параметри θⱼ повинні визначатися за даними або обґрунтованою процедурою калібрації. Загальна форма моделі:</w:t>
      </w:r>
    </w:p>
    <w:p>
      <w:pPr>
        <w:spacing w:before="60" w:after="60"/>
        <w:jc w:val="center"/>
      </w:pPr>
      <w:r>
        <w:rPr>
          <w:rFonts w:ascii="Times New Roman" w:hAnsi="Times New Roman" w:eastAsia="Times New Roman"/>
          <w:sz w:val="28"/>
        </w:rPr>
        <w:t>ŷⱼ(τ, v) = Fθⱼ(Xⱼ(τ, v), C),     ŷⱼ ∈ [0;1].</w:t>
      </w:r>
    </w:p>
    <w:p>
      <w:pPr>
        <w:spacing w:line="360" w:lineRule="auto" w:before="0" w:after="0"/>
        <w:ind w:firstLine="709"/>
        <w:jc w:val="both"/>
      </w:pPr>
      <w:r>
        <w:rPr>
          <w:rFonts w:ascii="Times New Roman" w:hAnsi="Times New Roman" w:eastAsia="Times New Roman"/>
          <w:sz w:val="28"/>
        </w:rPr>
        <w:t>Функція Fθⱼ може належати до різних класів моделей. Вибір її конкретної форми не повинен визначатися лише зручністю реалізації. Він має залежати від обсягу вибірки, виду цільового показника, очікуваної нелінійності, кількості ознак, частоти пропущених даних, необхідності інтерпретованості та стійкості до зміни домену. Тому у теоретичній моделі Fθⱼ задається абстрактно, а остаточний клас та параметри повинні бути обрані й перевірені експериментально.</w:t>
      </w:r>
    </w:p>
    <w:p>
      <w:pPr>
        <w:spacing w:line="360" w:lineRule="auto" w:before="0" w:after="0"/>
        <w:ind w:firstLine="709"/>
        <w:jc w:val="both"/>
      </w:pPr>
      <w:r>
        <w:rPr>
          <w:rFonts w:ascii="Times New Roman" w:hAnsi="Times New Roman" w:eastAsia="Times New Roman"/>
          <w:sz w:val="28"/>
        </w:rPr>
        <w:t>Як інтерпретований базовий варіант для подальшого порівняння може використовуватися параметрична адитивна форма з обмеженням діапазону результату. Наприклад, для нормованих ознак xₖⱼ:</w:t>
      </w:r>
    </w:p>
    <w:p>
      <w:pPr>
        <w:spacing w:before="60" w:after="60"/>
        <w:jc w:val="center"/>
      </w:pPr>
      <w:r>
        <w:rPr>
          <w:rFonts w:ascii="Times New Roman" w:hAnsi="Times New Roman" w:eastAsia="Times New Roman"/>
          <w:sz w:val="28"/>
        </w:rPr>
        <w:t>ŷⱼ = σ(β₀ⱼ + Σₖ βₖⱼ xₖⱼ),</w:t>
      </w:r>
    </w:p>
    <w:p>
      <w:pPr>
        <w:spacing w:line="360" w:lineRule="auto" w:before="0" w:after="0"/>
        <w:ind w:firstLine="709"/>
        <w:jc w:val="both"/>
      </w:pPr>
      <w:r>
        <w:rPr>
          <w:rFonts w:ascii="Times New Roman" w:hAnsi="Times New Roman" w:eastAsia="Times New Roman"/>
          <w:sz w:val="28"/>
        </w:rPr>
        <w:t>де σ(·) — монотонне перетворення до інтервалу [0;1], а βₖⱼ — параметри, що визначаються за навчальними даними. Наведена форма не проголошується остаточною моделлю дисертації; вона задає інтерпретований baseline, з яким у Розділі 5 можуть порівнюватися нелінійні, нечіткі або деревоподібні моделі.</w:t>
      </w:r>
    </w:p>
    <w:p>
      <w:pPr>
        <w:pageBreakBefore/>
        <w:spacing w:before="80" w:after="60"/>
        <w:jc w:val="left"/>
      </w:pPr>
      <w:r>
        <w:rPr>
          <w:rFonts w:ascii="Times New Roman" w:hAnsi="Times New Roman" w:eastAsia="Times New Roman"/>
          <w:sz w:val="28"/>
        </w:rPr>
        <w:t>Таблиця 4.6 – Класи моделей для реалізації Fθⱼ та їх методичні властивості</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04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Клас</w:t>
            </w:r>
          </w:p>
        </w:tc>
        <w:tc>
          <w:tcPr>
            <w:tcW w:type="dxa" w:w="2835"/>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Переваги</w:t>
            </w:r>
          </w:p>
        </w:tc>
        <w:tc>
          <w:tcPr>
            <w:tcW w:type="dxa" w:w="272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Основні обмеження</w:t>
            </w:r>
          </w:p>
        </w:tc>
        <w:tc>
          <w:tcPr>
            <w:tcW w:type="dxa" w:w="226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Роль у подальшому дослідженні</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Лінійна/узагальнена регресія</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Проста інтерпретація коефіцієнтів; стійкий baseline</w:t>
            </w:r>
          </w:p>
        </w:tc>
        <w:tc>
          <w:tcPr>
            <w:tcW w:type="dxa" w:w="2721"/>
            <w:vAlign w:val="top"/>
            <w:tcMar>
              <w:top w:w="55" w:type="dxa"/>
              <w:start w:w="65" w:type="dxa"/>
              <w:bottom w:w="55" w:type="dxa"/>
              <w:end w:w="65" w:type="dxa"/>
            </w:tcMar>
          </w:tcPr>
          <w:p>
            <w:pPr>
              <w:spacing w:before="0" w:after="0"/>
              <w:jc w:val="left"/>
            </w:pPr>
            <w:r/>
            <w:r>
              <w:rPr>
                <w:rFonts w:ascii="Times New Roman" w:hAnsi="Times New Roman" w:eastAsia="Times New Roman"/>
                <w:sz w:val="16"/>
              </w:rPr>
              <w:t>Обмежена здатність описувати складні нелінійні взаємодії</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Базова модель і перевірка напрямів зв’язку</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Багатокритеріальна зважена модель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Прозоре агрегування; легко врахувати експертний контекст</w:t>
            </w:r>
          </w:p>
        </w:tc>
        <w:tc>
          <w:tcPr>
            <w:tcW w:type="dxa" w:w="2721"/>
            <w:vAlign w:val="top"/>
            <w:tcMar>
              <w:top w:w="55" w:type="dxa"/>
              <w:start w:w="65" w:type="dxa"/>
              <w:bottom w:w="55" w:type="dxa"/>
              <w:end w:w="65" w:type="dxa"/>
            </w:tcMar>
          </w:tcPr>
          <w:p>
            <w:pPr>
              <w:spacing w:before="0" w:after="0"/>
              <w:jc w:val="left"/>
            </w:pPr>
            <w:r/>
            <w:r>
              <w:rPr>
                <w:rFonts w:ascii="Times New Roman" w:hAnsi="Times New Roman" w:eastAsia="Times New Roman"/>
                <w:sz w:val="16"/>
              </w:rPr>
              <w:t>Ризик суб’єктивності ваг і компенсаторності</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Допустима лише за обґрунтованого визначення ваг</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Нечітка модель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Підтримує нечіткі пороги та експертні правила</w:t>
            </w:r>
          </w:p>
        </w:tc>
        <w:tc>
          <w:tcPr>
            <w:tcW w:type="dxa" w:w="2721"/>
            <w:vAlign w:val="top"/>
            <w:tcMar>
              <w:top w:w="55" w:type="dxa"/>
              <w:start w:w="65" w:type="dxa"/>
              <w:bottom w:w="55" w:type="dxa"/>
              <w:end w:w="65" w:type="dxa"/>
            </w:tcMar>
          </w:tcPr>
          <w:p>
            <w:pPr>
              <w:spacing w:before="0" w:after="0"/>
              <w:jc w:val="left"/>
            </w:pPr>
            <w:r/>
            <w:r>
              <w:rPr>
                <w:rFonts w:ascii="Times New Roman" w:hAnsi="Times New Roman" w:eastAsia="Times New Roman"/>
                <w:sz w:val="16"/>
              </w:rPr>
              <w:t>Складність формування правил і масштабування</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Корисна за малої вибірки та наявності експертного знання</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Дерева/ансамблі</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Описують нелінійності й взаємодії, можуть працювати з неоднорідними ознаками</w:t>
            </w:r>
          </w:p>
        </w:tc>
        <w:tc>
          <w:tcPr>
            <w:tcW w:type="dxa" w:w="2721"/>
            <w:vAlign w:val="top"/>
            <w:tcMar>
              <w:top w:w="55" w:type="dxa"/>
              <w:start w:w="65" w:type="dxa"/>
              <w:bottom w:w="55" w:type="dxa"/>
              <w:end w:w="65" w:type="dxa"/>
            </w:tcMar>
          </w:tcPr>
          <w:p>
            <w:pPr>
              <w:spacing w:before="0" w:after="0"/>
              <w:jc w:val="left"/>
            </w:pPr>
            <w:r/>
            <w:r>
              <w:rPr>
                <w:rFonts w:ascii="Times New Roman" w:hAnsi="Times New Roman" w:eastAsia="Times New Roman"/>
                <w:sz w:val="16"/>
              </w:rPr>
              <w:t>Потребують достатньої вибірки; складніша глобальна інтерпретація</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Кандидат для емпіричного порівняння</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Інші статистичні/ML-моделі</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Гнучкість до структури даних</w:t>
            </w:r>
          </w:p>
        </w:tc>
        <w:tc>
          <w:tcPr>
            <w:tcW w:type="dxa" w:w="2721"/>
            <w:vAlign w:val="top"/>
            <w:tcMar>
              <w:top w:w="55" w:type="dxa"/>
              <w:start w:w="65" w:type="dxa"/>
              <w:bottom w:w="55" w:type="dxa"/>
              <w:end w:w="65" w:type="dxa"/>
            </w:tcMar>
          </w:tcPr>
          <w:p>
            <w:pPr>
              <w:spacing w:before="0" w:after="0"/>
              <w:jc w:val="left"/>
            </w:pPr>
            <w:r/>
            <w:r>
              <w:rPr>
                <w:rFonts w:ascii="Times New Roman" w:hAnsi="Times New Roman" w:eastAsia="Times New Roman"/>
                <w:sz w:val="16"/>
              </w:rPr>
              <w:t>Ризик перенавчання та низької пояснюваності</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Використовуються лише за достатнього обсягу й коректної валідації</w:t>
            </w:r>
          </w:p>
        </w:tc>
      </w:tr>
    </w:tbl>
    <w:p/>
    <w:p>
      <w:pPr>
        <w:spacing w:line="360" w:lineRule="auto" w:before="0" w:after="0"/>
        <w:ind w:firstLine="709"/>
        <w:jc w:val="both"/>
      </w:pPr>
      <w:r>
        <w:rPr>
          <w:rFonts w:ascii="Times New Roman" w:hAnsi="Times New Roman" w:eastAsia="Times New Roman"/>
          <w:sz w:val="28"/>
        </w:rPr>
        <w:t>Модель передбачає, що набір ознак для різних qⱼ не зобов’язаний бути однаковим. Наприклад, для продуктивності найбільш інформативними можуть бути операціоналізація часових і ресурсних вимог, наявність кількісних порогів та архітектурні свідчення; для безпеки — повнота вимог до контролю доступу, конфіденційності, цілісності, трасованість до механізмів захисту та результати security verification; для супроводжуваності — структурні залежності, модульність архітектури та статичні характеристики коду. Це означає, що модель якості є не однією універсальною формулою, а сімейством Fθⱼ зі спільною методичною структурою.</w:t>
      </w:r>
    </w:p>
    <w:p>
      <w:pPr>
        <w:spacing w:line="360" w:lineRule="auto" w:before="0" w:after="0"/>
        <w:ind w:firstLine="709"/>
        <w:jc w:val="both"/>
      </w:pPr>
      <w:r>
        <w:rPr>
          <w:rFonts w:ascii="Times New Roman" w:hAnsi="Times New Roman" w:eastAsia="Times New Roman"/>
          <w:sz w:val="28"/>
        </w:rPr>
        <w:t>Для продукту результатом є векторний профіль, а не один бал:</w:t>
      </w:r>
    </w:p>
    <w:p>
      <w:pPr>
        <w:spacing w:before="60" w:after="60"/>
        <w:jc w:val="center"/>
      </w:pPr>
      <w:r>
        <w:rPr>
          <w:rFonts w:ascii="Times New Roman" w:hAnsi="Times New Roman" w:eastAsia="Times New Roman"/>
          <w:sz w:val="28"/>
        </w:rPr>
        <w:t>Ŷ(τ, v) = (ŷ₁(τ, v), ŷ₂(τ, v), …, ŷ₉(τ, v)).</w:t>
      </w:r>
    </w:p>
    <w:p>
      <w:pPr>
        <w:spacing w:line="360" w:lineRule="auto" w:before="0" w:after="0"/>
        <w:ind w:firstLine="709"/>
        <w:jc w:val="both"/>
      </w:pPr>
      <w:r>
        <w:rPr>
          <w:rFonts w:ascii="Times New Roman" w:hAnsi="Times New Roman" w:eastAsia="Times New Roman"/>
          <w:sz w:val="28"/>
        </w:rPr>
        <w:t>Кожне значення у профілі повинно супроводжуватися парою Cⱼᵈᵃᵗᵃ = (cⱼᶜᵒᵛ, cⱼʳᵉˡ), що окремо характеризує покриття й надійність доказів, і, якщо це підтримує обраний клас Fθⱼ, оцінкою модельної невизначеності uⱼ. Тому повний характеристико-специфічний результат доцільно розглядати як кортеж Q̂ⱼ = (ŷⱼ, Cⱼᵈᵃᵗᵃ, uⱼ, Explⱼ). Це запобігає ситуації, коли дві однакові числові оцінки інтерпретуються однаково, хоча одна сформована на повній доказовій базі, а інша — на декількох слабких ознаках.</w:t>
      </w:r>
    </w:p>
    <w:p>
      <w:pPr>
        <w:spacing w:line="360" w:lineRule="auto" w:before="0" w:after="0"/>
        <w:ind w:firstLine="709"/>
        <w:jc w:val="both"/>
      </w:pPr>
      <w:r>
        <w:rPr>
          <w:rFonts w:ascii="Times New Roman" w:hAnsi="Times New Roman" w:eastAsia="Times New Roman"/>
          <w:sz w:val="28"/>
        </w:rPr>
        <w:t>Пояснення Explⱼ є частиною моделі, оскільки практична цінність раннього оцінювання полягає не тільки у прогнозі, а й у можливості визначити, які характеристики вимог стали джерелом ризику. Для інтерпретованих моделей пояснення може ґрунтуватися на коефіцієнтах і локальних внесках ознак; для складніших моделей — на методах локальної інтерпретації. Незалежно від реалізації, внесок повинен трасуватися назад до вихідних вимог, а не завершуватися лише назвою агрегованої метрики.</w:t>
      </w:r>
    </w:p>
    <w:p>
      <w:pPr>
        <w:spacing w:line="360" w:lineRule="auto" w:before="0" w:after="0"/>
        <w:ind w:firstLine="709"/>
        <w:jc w:val="both"/>
      </w:pPr>
      <w:r>
        <w:rPr>
          <w:rFonts w:ascii="Times New Roman" w:hAnsi="Times New Roman" w:eastAsia="Times New Roman"/>
          <w:sz w:val="28"/>
        </w:rPr>
        <w:t>Окремим компонентом моделі є контекст C. ISO/IEC 25010:2023 задає референтні характеристики, але не встановлює однакової критичності всіх характеристик для всіх продуктів [4]. Відповідно, вимоги до банківської системи, вбудованого real-time компонента та інформаційного вебсервісу формують різні пріоритети. Контекст C може включати тип системи, критичність, домен, регуляторні обмеження, архітектурний стиль, профіль користувачів і стадію життєвого циклу. На його основі, відповідно до підрозділу 2.3, формується множина релевантних для конкретного продукту характеристик Q*(C) ⊆ Q; характеристики поза Q*(C) не трактуються як нульові.</w:t>
      </w:r>
    </w:p>
    <w:p>
      <w:pPr>
        <w:spacing w:line="360" w:lineRule="auto" w:before="0" w:after="0"/>
        <w:ind w:firstLine="709"/>
        <w:jc w:val="both"/>
      </w:pPr>
      <w:r>
        <w:rPr>
          <w:rFonts w:ascii="Times New Roman" w:hAnsi="Times New Roman" w:eastAsia="Times New Roman"/>
          <w:sz w:val="28"/>
        </w:rPr>
        <w:t>Для ситуацій, коли потрібен один узагальнений індекс, введемо контекстний вектор ваг α(C) тільки для qⱼ ∈ Q*(C): αⱼ ≥ 0, Σqⱼ∈Q*(C) αⱼ = 1. Ваги не є універсальними константами моделі; вони можуть визначатися нормативними вимогами, експертним узгодженням, статистичним аналізом або комбінацією цих підходів. Інтегральний індекс має лише допоміжне значення і обчислюється тоді, коли для всіх характеристик із ненульовою вагою визначено ŷⱼ та виконано мінімальні вимоги до покриття і надійності доказів:</w:t>
      </w:r>
    </w:p>
    <w:p>
      <w:pPr>
        <w:spacing w:before="60" w:after="60"/>
        <w:jc w:val="center"/>
      </w:pPr>
      <w:r>
        <w:rPr>
          <w:rFonts w:ascii="Times New Roman" w:hAnsi="Times New Roman" w:eastAsia="Times New Roman"/>
          <w:sz w:val="28"/>
        </w:rPr>
        <w:t xml:space="preserve">Q_int(C) = Σqⱼ∈Q*(C) αⱼ(C) · ŷⱼ,     Σqⱼ∈Q*(C) αⱼ(C) = 1.</w:t>
      </w:r>
    </w:p>
    <w:p>
      <w:pPr>
        <w:spacing w:line="360" w:lineRule="auto" w:before="0" w:after="0"/>
        <w:ind w:firstLine="709"/>
        <w:jc w:val="both"/>
      </w:pPr>
      <w:r>
        <w:rPr>
          <w:rFonts w:ascii="Times New Roman" w:hAnsi="Times New Roman" w:eastAsia="Times New Roman"/>
          <w:sz w:val="28"/>
        </w:rPr>
        <w:t>Проста зважена сума є компенсаторною: дуже високе значення однієї характеристики здатне підвищити інтегральний бал навіть за неприйнятного рівня іншої. Для критичних систем така логіка може бути небезпечною. Тому вводиться множина некомпенсованих характеристик Qcrit(C) ⊆ Q*(C) і контекстні мінімальні рівні qminⱼ(C). Стан вважається допустимим лише тоді, коли для всіх критичних характеристик виконано порогову умову якості та обидва пороги доказової достатності.</w:t>
      </w:r>
    </w:p>
    <w:p>
      <w:pPr>
        <w:spacing w:before="60" w:after="60"/>
        <w:jc w:val="center"/>
      </w:pPr>
      <w:r>
        <w:rPr>
          <w:rFonts w:ascii="Times New Roman" w:hAnsi="Times New Roman" w:eastAsia="Times New Roman"/>
          <w:sz w:val="28"/>
        </w:rPr>
        <w:t>Adm(C) = 1 ⇔ [ŷⱼ ≥ qminⱼ(C) ∧ cⱼᶜᵒᵛ ≥ cminⱼᶜᵒᵛ(C) ∧ cⱼʳᵉˡ ≥ cminⱼʳᵉˡ(C)] для всіх qⱼ ∈ Qcrit(C).</w:t>
      </w:r>
    </w:p>
    <w:p>
      <w:pPr>
        <w:spacing w:line="360" w:lineRule="auto" w:before="0" w:after="0"/>
        <w:ind w:firstLine="709"/>
        <w:jc w:val="both"/>
      </w:pPr>
      <w:r>
        <w:rPr>
          <w:rFonts w:ascii="Times New Roman" w:hAnsi="Times New Roman" w:eastAsia="Times New Roman"/>
          <w:sz w:val="28"/>
        </w:rPr>
        <w:t>Якщо Adm(C) = 0, інтегральний Q_int може бути показаний для аналітичних цілей, але не повинен використовуватися як підстава для позитивного рішення. Такий механізм узгоджується з процесною логікою контрольних точок 4.1 і запобігає маскуванню локального критичного ризику середнім значенням.</w:t>
      </w:r>
    </w:p>
    <w:p>
      <w:pPr>
        <w:spacing w:line="360" w:lineRule="auto" w:before="0" w:after="0"/>
        <w:ind w:firstLine="709"/>
        <w:jc w:val="both"/>
      </w:pPr>
      <w:r>
        <w:rPr>
          <w:rFonts w:ascii="Times New Roman" w:hAnsi="Times New Roman" w:eastAsia="Times New Roman"/>
          <w:sz w:val="28"/>
        </w:rPr>
        <w:t>Для узгодження вимог, метрик і характеристик якості програмного продукту доцільно виділити три типи параметрів моделі. Семантичні параметри визначають, які вимоги та метрики стосуються qⱼ; прогнозні параметри θⱼ визначають форму Fθⱼ; управлінські параметри αⱼ, qminⱼ та Cminⱼ визначають правила контекстної інтерпретації результату. Змішування цих параметрів небажане: наприклад, висока критичність security не означає, що всі метрики security повинні отримати більші статистичні коефіцієнти у прогнозній моделі.</w:t>
      </w:r>
    </w:p>
    <w:p>
      <w:pPr>
        <w:spacing w:before="80" w:after="60"/>
        <w:jc w:val="left"/>
      </w:pPr>
      <w:r>
        <w:rPr>
          <w:rFonts w:ascii="Times New Roman" w:hAnsi="Times New Roman" w:eastAsia="Times New Roman"/>
          <w:sz w:val="28"/>
        </w:rPr>
        <w:t>Таблиця 4.7 – Групи параметрів моделі якості</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Група</w:t>
            </w:r>
          </w:p>
        </w:tc>
        <w:tc>
          <w:tcPr>
            <w:tcW w:type="dxa" w:w="204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Позначення</w:t>
            </w:r>
          </w:p>
        </w:tc>
        <w:tc>
          <w:tcPr>
            <w:tcW w:type="dxa" w:w="328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Призначення</w:t>
            </w:r>
          </w:p>
        </w:tc>
        <w:tc>
          <w:tcPr>
            <w:tcW w:type="dxa" w:w="260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Спосіб визначення</w:t>
            </w:r>
          </w:p>
        </w:tc>
      </w:tr>
      <w:tr>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Семантичні</w:t>
            </w:r>
          </w:p>
        </w:tc>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G, Rⱼ, Mⱼ</w:t>
            </w:r>
          </w:p>
        </w:tc>
        <w:tc>
          <w:tcPr>
            <w:tcW w:type="dxa" w:w="328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Визначають належність вимог і метрик до характеристики qⱼ</w:t>
            </w:r>
          </w:p>
        </w:tc>
        <w:tc>
          <w:tcPr>
            <w:tcW w:type="dxa" w:w="2608"/>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Правила класифікації, трасування, NLP/експертне підтвердження</w:t>
            </w:r>
          </w:p>
        </w:tc>
      </w:tr>
      <w:tr>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Прогнозні</w:t>
            </w:r>
          </w:p>
        </w:tc>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θⱼ</w:t>
            </w:r>
          </w:p>
        </w:tc>
        <w:tc>
          <w:tcPr>
            <w:tcW w:type="dxa" w:w="3288"/>
            <w:vAlign w:val="top"/>
            <w:tcMar>
              <w:top w:w="55" w:type="dxa"/>
              <w:start w:w="65" w:type="dxa"/>
              <w:bottom w:w="55" w:type="dxa"/>
              <w:end w:w="65" w:type="dxa"/>
            </w:tcMar>
          </w:tcPr>
          <w:p>
            <w:pPr>
              <w:spacing w:before="0" w:after="0"/>
              <w:jc w:val="left"/>
            </w:pPr>
            <w:r/>
            <w:r>
              <w:rPr>
                <w:rFonts w:ascii="Times New Roman" w:hAnsi="Times New Roman" w:eastAsia="Times New Roman"/>
                <w:sz w:val="16"/>
              </w:rPr>
              <w:t>Перетворюють Xⱼ на ŷⱼ</w:t>
            </w:r>
          </w:p>
        </w:tc>
        <w:tc>
          <w:tcPr>
            <w:tcW w:type="dxa" w:w="260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Навчання/калібрація на емпіричних даних</w:t>
            </w:r>
          </w:p>
        </w:tc>
      </w:tr>
      <w:tr>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Контекстні</w:t>
            </w:r>
          </w:p>
        </w:tc>
        <w:tc>
          <w:tcPr>
            <w:tcW w:type="dxa" w:w="2041"/>
            <w:vAlign w:val="top"/>
            <w:tcMar>
              <w:top w:w="55" w:type="dxa"/>
              <w:start w:w="65" w:type="dxa"/>
              <w:bottom w:w="55" w:type="dxa"/>
              <w:end w:w="65" w:type="dxa"/>
            </w:tcMar>
          </w:tcPr>
          <w:p>
            <w:pPr>
              <w:spacing w:before="0" w:after="0"/>
              <w:jc w:val="left"/>
            </w:pPr>
            <w:r>
              <w:rPr>
                <w:rFonts w:ascii="Times New Roman" w:hAnsi="Times New Roman" w:eastAsia="Times New Roman"/>
                <w:sz w:val="16"/>
              </w:rPr>
              <w:t>C, αⱼ, qminⱼ, Cminⱼ</w:t>
            </w:r>
          </w:p>
        </w:tc>
        <w:tc>
          <w:tcPr>
            <w:tcW w:type="dxa" w:w="3288"/>
            <w:vAlign w:val="top"/>
            <w:tcMar>
              <w:top w:w="55" w:type="dxa"/>
              <w:start w:w="65" w:type="dxa"/>
              <w:bottom w:w="55" w:type="dxa"/>
              <w:end w:w="65" w:type="dxa"/>
            </w:tcMar>
          </w:tcPr>
          <w:p>
            <w:pPr>
              <w:spacing w:before="0" w:after="0"/>
              <w:jc w:val="left"/>
            </w:pPr>
            <w:r/>
            <w:r>
              <w:rPr>
                <w:rFonts w:ascii="Times New Roman" w:hAnsi="Times New Roman" w:eastAsia="Times New Roman"/>
                <w:sz w:val="16"/>
              </w:rPr>
              <w:t>Задають пріоритети, допустимість і правила агрегування</w:t>
            </w:r>
          </w:p>
        </w:tc>
        <w:tc>
          <w:tcPr>
            <w:tcW w:type="dxa" w:w="2608"/>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Домен, нормативні вимоги, експертне узгодження, експеримент</w:t>
            </w:r>
          </w:p>
        </w:tc>
      </w:tr>
      <w:tr>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Доказові</w:t>
            </w:r>
          </w:p>
        </w:tc>
        <w:tc>
          <w:tcPr>
            <w:tcW w:type="dxa" w:w="2041"/>
            <w:vAlign w:val="top"/>
            <w:tcMar>
              <w:top w:w="55" w:type="dxa"/>
              <w:start w:w="65" w:type="dxa"/>
              <w:bottom w:w="55" w:type="dxa"/>
              <w:end w:w="65" w:type="dxa"/>
            </w:tcMar>
          </w:tcPr>
          <w:p>
            <w:pPr>
              <w:spacing w:before="0" w:after="0"/>
              <w:jc w:val="left"/>
            </w:pPr>
            <w:r>
              <w:rPr>
                <w:rFonts w:ascii="Times New Roman" w:hAnsi="Times New Roman" w:eastAsia="Times New Roman"/>
                <w:sz w:val="16"/>
              </w:rPr>
              <w:t>Bⱼ, Relⱼ, Cⱼᵈᵃᵗᵃ, uⱼ</w:t>
            </w:r>
          </w:p>
        </w:tc>
        <w:tc>
          <w:tcPr>
            <w:tcW w:type="dxa" w:w="3288"/>
            <w:vAlign w:val="top"/>
            <w:tcMar>
              <w:top w:w="55" w:type="dxa"/>
              <w:start w:w="65" w:type="dxa"/>
              <w:bottom w:w="55" w:type="dxa"/>
              <w:end w:w="65" w:type="dxa"/>
            </w:tcMar>
          </w:tcPr>
          <w:p>
            <w:pPr>
              <w:spacing w:before="0" w:after="0"/>
              <w:jc w:val="left"/>
            </w:pPr>
            <w:r>
              <w:rPr>
                <w:rFonts w:ascii="Times New Roman" w:hAnsi="Times New Roman" w:eastAsia="Times New Roman"/>
                <w:sz w:val="16"/>
              </w:rPr>
              <w:t>Характеризують доступність, покриття й надійність інформації</w:t>
            </w:r>
          </w:p>
        </w:tc>
        <w:tc>
          <w:tcPr>
            <w:tcW w:type="dxa" w:w="2608"/>
            <w:vAlign w:val="top"/>
            <w:tcMar>
              <w:top w:w="55" w:type="dxa"/>
              <w:start w:w="65" w:type="dxa"/>
              <w:bottom w:w="55" w:type="dxa"/>
              <w:end w:w="65" w:type="dxa"/>
            </w:tcMar>
          </w:tcPr>
          <w:p>
            <w:pPr>
              <w:spacing w:before="0" w:after="0"/>
              <w:jc w:val="left"/>
            </w:pPr>
            <w:r/>
            <w:r>
              <w:rPr>
                <w:rFonts w:ascii="Times New Roman" w:hAnsi="Times New Roman" w:eastAsia="Times New Roman"/>
                <w:sz w:val="16"/>
              </w:rPr>
              <w:t>Автоматично з артефактів і процедур вимірювання</w:t>
            </w:r>
          </w:p>
        </w:tc>
      </w:tr>
    </w:tbl>
    <w:p/>
    <w:p>
      <w:pPr>
        <w:spacing w:line="360" w:lineRule="auto" w:before="0" w:after="0"/>
        <w:ind w:firstLine="709"/>
        <w:jc w:val="both"/>
      </w:pPr>
      <w:r>
        <w:rPr>
          <w:rFonts w:ascii="Times New Roman" w:hAnsi="Times New Roman" w:eastAsia="Times New Roman"/>
          <w:sz w:val="28"/>
        </w:rPr>
        <w:t>Щоб модель могла бути перевірена експериментально, необхідно чітко визначити цільові значення yⱼ. Вони не повинні бути довільними експертними балами, якщо для характеристики доступні об’єктивні показники. ISO/IEC 25023:2016 визначає міри якості програмного продукту, пов’язані з характеристиками і підхарактеристиками ISO/IEC 25010 [9]. Тому в експерименті фактичне yⱼ доцільно формувати з вимірювань, тестових результатів, експлуатаційних даних або обґрунтованої композиції декількох мір. Для різних qⱼ структура цільового показника може відрізнятися.</w:t>
      </w:r>
    </w:p>
    <w:p>
      <w:pPr>
        <w:spacing w:line="360" w:lineRule="auto" w:before="0" w:after="0"/>
        <w:ind w:firstLine="709"/>
        <w:jc w:val="both"/>
      </w:pPr>
      <w:r>
        <w:rPr>
          <w:rFonts w:ascii="Times New Roman" w:hAnsi="Times New Roman" w:eastAsia="Times New Roman"/>
          <w:sz w:val="28"/>
        </w:rPr>
        <w:t>Необхідною умовою є калібрування. Якщо ŷⱼ інтерпретується як нормований рівень якості, значення 0,8 повинно мати стабільне значення в межах визначеного контексту. Тому після навчання моделі потрібно перевіряти не лише похибку прогнозу, а й калібрацію, стійкість до зміни проєкту, чутливість до пропущених ознак і стабільність висновків при зміні специфікації. Конкретні метрики цих властивостей є предметом Розділу 5.</w:t>
      </w:r>
    </w:p>
    <w:p>
      <w:pPr>
        <w:spacing w:line="360" w:lineRule="auto" w:before="0" w:after="0"/>
        <w:ind w:firstLine="709"/>
        <w:jc w:val="both"/>
      </w:pPr>
      <w:r>
        <w:rPr>
          <w:rFonts w:ascii="Times New Roman" w:hAnsi="Times New Roman" w:eastAsia="Times New Roman"/>
          <w:sz w:val="28"/>
        </w:rPr>
        <w:t>Модель також повинна підтримувати порівняння стадій. Нехай для однієї версії проєкту отримано ŷⱼᴿ на етапі вимог і ŷⱼᴬ після архітектурного проєктування. Різниця Δŷⱼᴿ→ᴬ не є безпосередньо “покращенням продукту”; вона відображає зміну оцінки після появи нових доказів. Тільки якщо між двома версіями було виконано коригувальну дію і надалі підтверджено фактичним yⱼ, можна інтерпретувати зміну як підтриманий даними ефект вдосконалення.</w:t>
      </w:r>
    </w:p>
    <w:p>
      <w:pPr>
        <w:spacing w:line="360" w:lineRule="auto" w:before="0" w:after="0"/>
        <w:ind w:firstLine="709"/>
        <w:jc w:val="both"/>
      </w:pPr>
      <w:r>
        <w:rPr>
          <w:rFonts w:ascii="Times New Roman" w:hAnsi="Times New Roman" w:eastAsia="Times New Roman"/>
          <w:sz w:val="28"/>
        </w:rPr>
        <w:t>Для формального подання запропоновану модель якості визначимо як кортеж:</w:t>
      </w:r>
    </w:p>
    <w:p>
      <w:pPr>
        <w:spacing w:before="60" w:after="60"/>
        <w:jc w:val="center"/>
      </w:pPr>
      <w:r>
        <w:rPr>
          <w:rFonts w:ascii="Times New Roman" w:hAnsi="Times New Roman" w:eastAsia="Times New Roman"/>
          <w:sz w:val="28"/>
        </w:rPr>
        <w:t>M_quality = (Q, G, Φ, 𝓕, Θ, C, Agg, 𝒟).</w:t>
      </w:r>
    </w:p>
    <w:p>
      <w:pPr>
        <w:spacing w:line="360" w:lineRule="auto" w:before="0" w:after="0"/>
        <w:ind w:firstLine="709"/>
        <w:jc w:val="both"/>
      </w:pPr>
      <w:r>
        <w:rPr>
          <w:rFonts w:ascii="Times New Roman" w:hAnsi="Times New Roman" w:eastAsia="Times New Roman"/>
          <w:sz w:val="28"/>
        </w:rPr>
        <w:t>У цьому записі Q — простір характеристик якості програмного продукту; G — структура семантичної належності; Φ — оператор формування характеристико-специфічних ознак; 𝓕 = {Fθ₁, …, Fθ₉} — сімейство прогнозних функцій; Θ — їх параметри; C — контекст; Agg — правила контекстного агрегування та некомпенсованих обмежень; 𝒟 — опис доступності, покриття, надійності та невизначеності доказів. Модель M_quality взаємодіє з M_process: процесна модель визначає, які дані доступні та коли викликається оцінювання, а модель якості визначає, як з цих даних формується профіль Ŷ і правила його інтерпретації.</w:t>
      </w:r>
    </w:p>
    <w:p>
      <w:pPr>
        <w:spacing w:line="360" w:lineRule="auto" w:before="0" w:after="0"/>
        <w:ind w:firstLine="709"/>
        <w:jc w:val="both"/>
      </w:pPr>
      <w:r>
        <w:rPr>
          <w:rFonts w:ascii="Times New Roman" w:hAnsi="Times New Roman" w:eastAsia="Times New Roman"/>
          <w:sz w:val="28"/>
        </w:rPr>
        <w:t>Науково-методична відмінність запропонованої моделі полягає у поєднанні чотирьох положень: характеристико-специфічного аналізу замість єдиного бала якості специфікації; явного розмежування відсутності даних і негативної оцінки; контекстного механізму некомпенсованих критичних характеристик; та відокремлення семантичної структури вимог від параметрів прогнозної моделі. Це робить M_quality придатною як для інтерпретованих статистичних моделей, так і для складніших методів, не змінюючи загальної логіки оцінювання.</w:t>
      </w:r>
    </w:p>
    <w:p>
      <w:pPr>
        <w:spacing w:line="360" w:lineRule="auto" w:before="0" w:after="0"/>
        <w:ind w:firstLine="709"/>
        <w:jc w:val="both"/>
      </w:pPr>
      <w:r>
        <w:rPr>
          <w:rFonts w:ascii="Times New Roman" w:hAnsi="Times New Roman" w:eastAsia="Times New Roman"/>
          <w:sz w:val="28"/>
        </w:rPr>
        <w:t>Таким чином, у підрозділі сформовано модель якості програмного забезпечення, яка відображає характеристики вимог і специфікацій у дев’ятивимірний профіль якості програмного продукту ISO/IEC 25010:2023. Модель задає рівні R → 𝒫 → M → Q, характеристико-специфічне формування ознак Xⱼ, сімейство функцій Fθⱼ, структуру результату Q̂ⱼ, контекстне агрегування та правила некомпенсованих критичних порогів. Наступний підрозділ 4.3 повинен доповнити цю модель причинно-ризиковим рівнем: формалізувати дефекти вимог, їх потенційний вплив на qⱼ, правила пріоритезації та коригувальні дії, після яких процесна й якісна моделі запускаються повторно.</w:t>
      </w:r>
    </w:p>
    <w:p>
      <w:pPr>
        <w:pStyle w:val="Heading1"/>
      </w:pPr>
      <w:r>
        <w:t>Список джерел до підрозділу 4.2</w:t>
      </w:r>
    </w:p>
    <w:p>
      <w:r>
        <w:t>4. ISO/IEC 25010:2023. Systems and software engineering — Systems and software Quality Requirements and Evaluation (SQuaRE) — Product quality model. Geneva: ISO, 2023.</w:t>
      </w:r>
    </w:p>
    <w:p>
      <w:r>
        <w:t>9. ISO/IEC 25023:2016. Systems and software engineering — Systems and software Quality Requirements and Evaluation (SQuaRE) — Measurement of system and software product quality. Geneva: ISO, 2016.</w:t>
      </w:r>
    </w:p>
    <w:p>
      <w:r>
        <w:t>10. ISO/IEC 25030:2019. Systems and software engineering — Systems and software Quality Requirements and Evaluation (SQuaRE) — Quality requirements framework. Geneva: ISO, 2019.</w:t>
      </w:r>
    </w:p>
    <w:p>
      <w:r>
        <w:t>14. Wagner S., Goeb A., Heinemann L., Kläs M., Lampasona C., Lochmann K., Mayr A., Plösch R., Seidl A., Streit J., Trendowicz A. Operationalised Product Quality Models and Assessment: The Quamoco Approach. Information and Software Technology. 2015. Vol. 62. P. 101–123. DOI: 10.1016/j.infsof.2015.02.009.</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