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line="360" w:lineRule="auto"/>
        <w:jc w:val="left"/>
      </w:pPr>
      <w:r>
        <w:rPr>
          <w:rFonts w:ascii="Times New Roman" w:hAnsi="Times New Roman" w:eastAsia="Times New Roman"/>
          <w:b/>
          <w:sz w:val="28"/>
        </w:rPr>
        <w:t>4.3. Модель дефектів, ризиків та коригувальних впливів на основі аналізу вимог</w:t>
      </w:r>
    </w:p>
    <w:p>
      <w:pPr>
        <w:spacing w:line="360" w:lineRule="auto" w:before="0" w:after="0"/>
        <w:ind w:firstLine="709"/>
        <w:jc w:val="both"/>
      </w:pPr>
      <w:r>
        <w:rPr>
          <w:rFonts w:ascii="Times New Roman" w:hAnsi="Times New Roman" w:eastAsia="Times New Roman"/>
          <w:sz w:val="28"/>
        </w:rPr>
        <w:t>Модель M_quality, сформована у підрозділі 4.2, визначає перехід від характеристик вимог і специфікацій до профілю якості програмного продукту Ŷ. Однак для практичного управління якістю недостатньо знати лише прогнозований рівень характеристики qⱼ. Необхідно встановити, які конкретні дефекти вимог формують ризик зниження цієї характеристики, які з них мають бути усунені першочергово та як змінюється стан оцінювання після коригування. Тому завершальним елементом теоретичної системи є модель дефектів, ризиків та коригувальних впливів.</w:t>
      </w:r>
    </w:p>
    <w:p>
      <w:pPr>
        <w:spacing w:line="360" w:lineRule="auto" w:before="0" w:after="0"/>
        <w:ind w:firstLine="709"/>
        <w:jc w:val="both"/>
      </w:pPr>
      <w:r>
        <w:rPr>
          <w:rFonts w:ascii="Times New Roman" w:hAnsi="Times New Roman" w:eastAsia="Times New Roman"/>
          <w:sz w:val="28"/>
        </w:rPr>
        <w:t>У Розділі 2 дефекти вимог класифіковано через неповноту, неоднозначність, суперечливість, неперевірюваність, порушення трасованості, дублювання, недостатню операціоналізацію, нестабільність та інші спостережувані порушення. У запропонованій моделі дефект не трактується як гарантована причина дефекту реалізованого ПЗ. Він розглядається як зафіксований недолік інформаційного артефакту, який за певного контексту може збільшувати ризик невиконання або неправильного виконання відповідної характеристики якості.</w:t>
      </w:r>
    </w:p>
    <w:p>
      <w:pPr>
        <w:spacing w:line="360" w:lineRule="auto" w:before="0" w:after="0"/>
        <w:ind w:firstLine="709"/>
        <w:jc w:val="both"/>
      </w:pPr>
      <w:r>
        <w:rPr>
          <w:rFonts w:ascii="Times New Roman" w:hAnsi="Times New Roman" w:eastAsia="Times New Roman"/>
          <w:sz w:val="28"/>
        </w:rPr>
        <w:t>Такий підхід узгоджується з ISO 31000:2018, де управління ризиком охоплює ідентифікацію, аналіз, оцінювання, оброблення, моніторинг і комунікацію ризиків [43]. ISO 31000 не задає спеціальної моделі для дефектів програмних вимог, тому наведена нижче конструкція є авторською формалізацією для задачі дисертації. ISO/IEC/IEEE 29148:2018 використовується як нормативна основа інженерії вимог, а ISO/IEC 25010:2023 і ISO/IEC 25040:2024 — як рамка характеристик якості програмного продукту та процесу її оцінювання [15; 4; 11].</w:t>
      </w:r>
    </w:p>
    <w:p>
      <w:pPr>
        <w:spacing w:line="360" w:lineRule="auto" w:before="0" w:after="0"/>
        <w:ind w:firstLine="709"/>
        <w:jc w:val="both"/>
      </w:pPr>
      <w:r>
        <w:rPr>
          <w:rFonts w:ascii="Times New Roman" w:hAnsi="Times New Roman" w:eastAsia="Times New Roman"/>
          <w:sz w:val="28"/>
        </w:rPr>
        <w:t>Введемо множину виявлених дефектів D = {d₁, d₂, …, dₛ}. Кожний дефект dᵢ пов’язаний щонайменше з вимогою або іншим елементом специфікації, типом порушення, свідченням, стадією та версією артефакту. Для уникнення змішування факту дефекту і його наслідків використовуватимемо структуроване подання:</w:t>
      </w:r>
    </w:p>
    <w:p>
      <w:pPr>
        <w:spacing w:before="60" w:after="60"/>
        <w:jc w:val="center"/>
      </w:pPr>
      <w:r>
        <w:rPr>
          <w:rFonts w:ascii="Times New Roman" w:hAnsi="Times New Roman" w:eastAsia="Times New Roman"/>
          <w:sz w:val="28"/>
        </w:rPr>
        <w:t>dᵢ = (typeᵢ, targetᵢ, evidenceᵢ, sevᵢ, confᵢ, τᵢ, vᵢ).</w:t>
      </w:r>
    </w:p>
    <w:p>
      <w:pPr>
        <w:spacing w:line="360" w:lineRule="auto" w:before="0" w:after="0"/>
        <w:ind w:firstLine="709"/>
        <w:jc w:val="both"/>
      </w:pPr>
      <w:r>
        <w:rPr>
          <w:rFonts w:ascii="Times New Roman" w:hAnsi="Times New Roman" w:eastAsia="Times New Roman"/>
          <w:sz w:val="28"/>
        </w:rPr>
        <w:t>Тут typeᵢ — тип дефекту; targetᵢ — вимога або артефакт, у якому його виявлено; evidenceᵢ — конкретне доказове свідчення; sevᵢ — локальна тяжкість самого дефекту; confᵢ — достовірність його виявлення; τᵢ і vᵢ — стадія та версія. Параметр confᵢ особливо важливий для автоматизованих NLP- або евристичних детекторів: низька впевненість алгоритму не повинна автоматично перетворюватися на високий ризик без підтвердження. При цьому sevᵢ характеризує тяжкість дефекту вимоги як інформаційного артефакту, тоді як Iᵢⱼ, введений нижче, характеризує масштаб потенційного наслідку саме для qⱼ; ці величини пов’язані, але не є тотожними.</w:t>
      </w:r>
    </w:p>
    <w:p>
      <w:pPr>
        <w:spacing w:before="80" w:after="60"/>
        <w:jc w:val="left"/>
      </w:pPr>
      <w:r>
        <w:rPr>
          <w:rFonts w:ascii="Times New Roman" w:hAnsi="Times New Roman" w:eastAsia="Times New Roman"/>
          <w:sz w:val="28"/>
        </w:rPr>
        <w:t>Таблиця 4.8 – Основні класи дефектів вимог у моделі ризику</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09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Клас дефекту</w:t>
            </w:r>
          </w:p>
        </w:tc>
        <w:tc>
          <w:tcPr>
            <w:tcW w:type="dxa" w:w="294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Приклад прояву</w:t>
            </w:r>
          </w:p>
        </w:tc>
        <w:tc>
          <w:tcPr>
            <w:tcW w:type="dxa" w:w="2835"/>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Основний механізм ризику</w:t>
            </w:r>
          </w:p>
        </w:tc>
        <w:tc>
          <w:tcPr>
            <w:tcW w:type="dxa" w:w="1984"/>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Типова коригувальна дія</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Неповнота</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Відсутня вимога, умова, сценарій або критерій</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Частина необхідної поведінки чи властивості не задана</w:t>
            </w:r>
          </w:p>
        </w:tc>
        <w:tc>
          <w:tcPr>
            <w:tcW w:type="dxa" w:w="1984"/>
            <w:vAlign w:val="top"/>
            <w:tcMar>
              <w:top w:w="55" w:type="dxa"/>
              <w:start w:w="65" w:type="dxa"/>
              <w:bottom w:w="55" w:type="dxa"/>
              <w:end w:w="65" w:type="dxa"/>
            </w:tcMar>
          </w:tcPr>
          <w:p>
            <w:pPr>
              <w:spacing w:before="0" w:after="0"/>
              <w:jc w:val="left"/>
            </w:pPr>
            <w:r>
              <w:rPr>
                <w:rFonts w:ascii="Times New Roman" w:hAnsi="Times New Roman" w:eastAsia="Times New Roman"/>
                <w:sz w:val="16"/>
              </w:rPr>
              <w:t>Доповнення специфікації; збір та уточнення вимог; перевірка покриття</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Неоднозначність</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Формулювання допускає декілька трактувань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Різні учасники можуть реалізувати або перевіряти різні значення</w:t>
            </w:r>
          </w:p>
        </w:tc>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Уточнення термінів; шаблонізація; конкретизація умови</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Суперечливість</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Дві вимоги задають несумісні стани або обмеження</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Неможливість одночасної коректної реалізації</w:t>
            </w:r>
          </w:p>
        </w:tc>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Узгодження пріоритетів; усунення конфлікту</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Неперевірюваність</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Немає спостережуваного критерію виконання</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Неможливість об’єктивно підтвердити відповідність</w:t>
            </w:r>
          </w:p>
        </w:tc>
        <w:tc>
          <w:tcPr>
            <w:tcW w:type="dxa" w:w="1984"/>
            <w:vAlign w:val="top"/>
            <w:tcMar>
              <w:top w:w="55" w:type="dxa"/>
              <w:start w:w="65" w:type="dxa"/>
              <w:bottom w:w="55" w:type="dxa"/>
              <w:end w:w="65" w:type="dxa"/>
            </w:tcMar>
          </w:tcPr>
          <w:p>
            <w:pPr>
              <w:spacing w:before="0" w:after="0"/>
              <w:jc w:val="left"/>
            </w:pPr>
            <w:r>
              <w:rPr>
                <w:rFonts w:ascii="Times New Roman" w:hAnsi="Times New Roman" w:eastAsia="Times New Roman"/>
                <w:sz w:val="16"/>
              </w:rPr>
              <w:t>Операціоналізація; додавання метрики, порога або критерію приймання</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Порушення трасованості</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Вимога не пов’язана з джерелом, рішенням або тестом</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Зростає ризик пропуску, неконтрольованої зміни та неповної перевірки</w:t>
            </w:r>
          </w:p>
        </w:tc>
        <w:tc>
          <w:tcPr>
            <w:tcW w:type="dxa" w:w="1984"/>
            <w:vAlign w:val="top"/>
            <w:tcMar>
              <w:top w:w="55" w:type="dxa"/>
              <w:start w:w="65" w:type="dxa"/>
              <w:bottom w:w="55" w:type="dxa"/>
              <w:end w:w="65" w:type="dxa"/>
            </w:tcMar>
          </w:tcPr>
          <w:p>
            <w:pPr>
              <w:spacing w:before="0" w:after="0"/>
              <w:jc w:val="left"/>
            </w:pPr>
            <w:r>
              <w:rPr>
                <w:rFonts w:ascii="Times New Roman" w:hAnsi="Times New Roman" w:eastAsia="Times New Roman"/>
                <w:sz w:val="16"/>
              </w:rPr>
              <w:t>Відновлення трасувального зв’язку; аналіз впливу</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Дублювання/надлишковість</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Семантично однакові вимоги існують у різних місцях</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Розходження версій і конфлікти під час змін</w:t>
            </w:r>
          </w:p>
        </w:tc>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Консолідація; нормалізація структури</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Недостатня операціоналізація</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Вимога до якості не має кількісної або перевірної форми</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Невизначені цільові значення якості</w:t>
            </w:r>
          </w:p>
        </w:tc>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Визначення вимірюваних критеріїв</w:t>
            </w:r>
          </w:p>
        </w:tc>
      </w:tr>
      <w:tr>
        <w:tc>
          <w:tcPr>
            <w:tcW w:type="dxa" w:w="209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Волатильність</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Часті зміни критичної вимоги або залежностей</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Артефакти реалізації та перевірки швидко втрачають актуальність</w:t>
            </w:r>
          </w:p>
        </w:tc>
        <w:tc>
          <w:tcPr>
            <w:tcW w:type="dxa" w:w="1984"/>
            <w:vAlign w:val="top"/>
            <w:tcMar>
              <w:top w:w="55" w:type="dxa"/>
              <w:start w:w="65" w:type="dxa"/>
              <w:bottom w:w="55" w:type="dxa"/>
              <w:end w:w="65" w:type="dxa"/>
            </w:tcMar>
          </w:tcPr>
          <w:p>
            <w:pPr>
              <w:spacing w:before="0" w:after="0"/>
              <w:jc w:val="left"/>
            </w:pPr>
            <w:r/>
            <w:r>
              <w:rPr>
                <w:rFonts w:ascii="Times New Roman" w:hAnsi="Times New Roman" w:eastAsia="Times New Roman"/>
                <w:sz w:val="16"/>
              </w:rPr>
              <w:t>Стабілізація; керування змінами; повторне трасування</w:t>
            </w:r>
          </w:p>
        </w:tc>
      </w:tr>
    </w:tbl>
    <w:p/>
    <w:p>
      <w:pPr>
        <w:spacing w:line="360" w:lineRule="auto" w:before="0" w:after="0"/>
        <w:ind w:firstLine="709"/>
        <w:jc w:val="both"/>
      </w:pPr>
      <w:r>
        <w:rPr>
          <w:rFonts w:ascii="Times New Roman" w:hAnsi="Times New Roman" w:eastAsia="Times New Roman"/>
          <w:sz w:val="28"/>
        </w:rPr>
        <w:t>Для переходу від дефекту до характеристик якості програмного продукту введемо матрицю ризикової належності RᴰQ = [ρᵢⱼ], де ρᵢⱼ ∈ [0;1] описує ступінь обґрунтованої релевантності дефекту dᵢ до характеристики qⱼ. На відміну від матриці семантичної належності G, яка відповідає на питання “яка вимога стосується якої характеристики”, RᴰQ описує інше відношення: “який виявлений дефект може створювати ризик для якої характеристики”.</w:t>
      </w:r>
    </w:p>
    <w:p>
      <w:pPr>
        <w:spacing w:line="360" w:lineRule="auto" w:before="0" w:after="0"/>
        <w:ind w:firstLine="709"/>
        <w:jc w:val="both"/>
      </w:pPr>
      <w:r>
        <w:rPr>
          <w:rFonts w:ascii="Times New Roman" w:hAnsi="Times New Roman" w:eastAsia="Times New Roman"/>
          <w:sz w:val="28"/>
        </w:rPr>
        <w:t>Початкове значення ρᵢⱼ може визначатися правилами, експертним аналізом або емпіричною статистикою. Наприклад, неперевірювана вимога щодо часу відгуку має високий зв’язок із performance efficiency, тоді як її ризиковий зв’язок із flexibility може бути відсутнім. Універсальна щільна матриця, де кожен дефект впливає на всі qⱼ, є методично необґрунтованою.</w:t>
      </w:r>
    </w:p>
    <w:p>
      <w:pPr>
        <w:spacing w:before="60" w:after="60"/>
        <w:jc w:val="center"/>
      </w:pPr>
      <w:r>
        <w:rPr>
          <w:rFonts w:ascii="Times New Roman" w:hAnsi="Times New Roman" w:eastAsia="Times New Roman"/>
          <w:sz w:val="28"/>
        </w:rPr>
        <w:t>RᴰQ = [ρᵢⱼ],     ρᵢⱼ ∈ [0;1].</w:t>
      </w:r>
    </w:p>
    <w:p>
      <w:pPr>
        <w:spacing w:line="360" w:lineRule="auto" w:before="0" w:after="0"/>
        <w:ind w:firstLine="709"/>
        <w:jc w:val="both"/>
      </w:pPr>
      <w:r>
        <w:rPr>
          <w:rFonts w:ascii="Times New Roman" w:hAnsi="Times New Roman" w:eastAsia="Times New Roman"/>
          <w:sz w:val="28"/>
        </w:rPr>
        <w:t>Ризик не повинен визначатися лише фактом наявності дефекту. Для пари (dᵢ, qⱼ) введемо ймовірнісно-наслідкове подання, у якому pᵢⱼ характеризує оцінену ймовірність того, що зафіксований дефект проявиться як небажаний наслідок для qⱼ, Iᵢⱼ — потенційний вплив на характеристику, а κⱼ(C) — нормовану контекстну критичність qⱼ. Усі множники визначаються на інтервалі [0;1]: ρᵢⱼ, pᵢⱼ, Iᵢⱼ, κⱼ(C) ∈ [0;1]. Базова оцінка може бути подана як:</w:t>
      </w:r>
    </w:p>
    <w:p>
      <w:pPr>
        <w:spacing w:before="60" w:after="60"/>
        <w:jc w:val="center"/>
      </w:pPr>
      <w:r>
        <w:rPr>
          <w:rFonts w:ascii="Times New Roman" w:hAnsi="Times New Roman" w:eastAsia="Times New Roman"/>
          <w:sz w:val="28"/>
        </w:rPr>
        <w:t>rᵢⱼ = ρᵢⱼ · pᵢⱼ · Iᵢⱼ · κⱼ(C),     rᵢⱼ ∈ [0;1].</w:t>
      </w:r>
    </w:p>
    <w:p>
      <w:pPr>
        <w:spacing w:line="360" w:lineRule="auto" w:before="0" w:after="0"/>
        <w:ind w:firstLine="709"/>
        <w:jc w:val="both"/>
      </w:pPr>
      <w:r>
        <w:rPr>
          <w:rFonts w:ascii="Times New Roman" w:hAnsi="Times New Roman" w:eastAsia="Times New Roman"/>
          <w:sz w:val="28"/>
        </w:rPr>
        <w:t>Формула є нормованою робочою моделлю, а не нормативною вимогою ISO 31000. Значення pᵢⱼ та Iᵢⱼ у подальшій реалізації можуть визначатися з історичних даних, експертних оцінок або комбіновано. Якщо достатніх даних немає, модель повинна зберігати інтервал або категорію невизначеності, а не підмінювати відсутню статистику вигаданою “точною ймовірністю”.</w:t>
      </w:r>
    </w:p>
    <w:p>
      <w:pPr>
        <w:spacing w:before="80" w:after="60"/>
        <w:jc w:val="left"/>
      </w:pPr>
      <w:r>
        <w:rPr>
          <w:rFonts w:ascii="Times New Roman" w:hAnsi="Times New Roman" w:eastAsia="Times New Roman"/>
          <w:sz w:val="28"/>
        </w:rPr>
        <w:t>Таблиця 4.9 – Параметри локальної оцінки ризику</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Параметр</w:t>
            </w:r>
          </w:p>
        </w:tc>
        <w:tc>
          <w:tcPr>
            <w:tcW w:type="dxa" w:w="294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Зміст</w:t>
            </w:r>
          </w:p>
        </w:tc>
        <w:tc>
          <w:tcPr>
            <w:tcW w:type="dxa" w:w="306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Джерело</w:t>
            </w:r>
          </w:p>
        </w:tc>
        <w:tc>
          <w:tcPr>
            <w:tcW w:type="dxa" w:w="226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Методичне застереження</w:t>
            </w:r>
          </w:p>
        </w:tc>
      </w:tr>
      <w:tr>
        <w:tc>
          <w:tcPr>
            <w:tcW w:type="dxa" w:w="1701"/>
            <w:vAlign w:val="top"/>
            <w:tcMar>
              <w:top w:w="55" w:type="dxa"/>
              <w:start w:w="65" w:type="dxa"/>
              <w:bottom w:w="55" w:type="dxa"/>
              <w:end w:w="65" w:type="dxa"/>
            </w:tcMar>
          </w:tcPr>
          <w:p>
            <w:pPr>
              <w:spacing w:before="0" w:after="0"/>
              <w:jc w:val="left"/>
            </w:pPr>
            <w:r/>
            <w:r>
              <w:rPr>
                <w:rFonts w:ascii="Times New Roman" w:hAnsi="Times New Roman" w:eastAsia="Times New Roman"/>
                <w:sz w:val="16"/>
              </w:rPr>
              <w:t>ρᵢⱼ</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Релевантність дефекту dᵢ до qⱼ</w:t>
            </w:r>
          </w:p>
        </w:tc>
        <w:tc>
          <w:tcPr>
            <w:tcW w:type="dxa" w:w="3061"/>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Правила, семантичний аналіз, експертне підтвердження</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 є ймовірністю виникнення наслідку</w:t>
            </w:r>
          </w:p>
        </w:tc>
      </w:tr>
      <w:tr>
        <w:tc>
          <w:tcPr>
            <w:tcW w:type="dxa" w:w="1701"/>
            <w:vAlign w:val="top"/>
            <w:tcMar>
              <w:top w:w="55" w:type="dxa"/>
              <w:start w:w="65" w:type="dxa"/>
              <w:bottom w:w="55" w:type="dxa"/>
              <w:end w:w="65" w:type="dxa"/>
            </w:tcMar>
          </w:tcPr>
          <w:p>
            <w:pPr>
              <w:spacing w:before="0" w:after="0"/>
              <w:jc w:val="left"/>
            </w:pPr>
            <w:r/>
            <w:r>
              <w:rPr>
                <w:rFonts w:ascii="Times New Roman" w:hAnsi="Times New Roman" w:eastAsia="Times New Roman"/>
                <w:sz w:val="16"/>
              </w:rPr>
              <w:t>pᵢⱼ</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Ймовірність небажаного наслідку за наявності дефекту</w:t>
            </w:r>
          </w:p>
        </w:tc>
        <w:tc>
          <w:tcPr>
            <w:tcW w:type="dxa" w:w="3061"/>
            <w:vAlign w:val="top"/>
            <w:tcMar>
              <w:top w:w="55" w:type="dxa"/>
              <w:start w:w="65" w:type="dxa"/>
              <w:bottom w:w="55" w:type="dxa"/>
              <w:end w:w="65" w:type="dxa"/>
            </w:tcMar>
          </w:tcPr>
          <w:p>
            <w:pPr>
              <w:spacing w:before="0" w:after="0"/>
              <w:jc w:val="left"/>
            </w:pPr>
            <w:r/>
            <w:r>
              <w:rPr>
                <w:rFonts w:ascii="Times New Roman" w:hAnsi="Times New Roman" w:eastAsia="Times New Roman"/>
                <w:sz w:val="16"/>
              </w:rPr>
              <w:t>Історичні дані, емпірична модель, експертна оцінка</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 фіксується довільно без джерела</w:t>
            </w:r>
          </w:p>
        </w:tc>
      </w:tr>
      <w:tr>
        <w:tc>
          <w:tcPr>
            <w:tcW w:type="dxa" w:w="1701"/>
            <w:vAlign w:val="top"/>
            <w:tcMar>
              <w:top w:w="55" w:type="dxa"/>
              <w:start w:w="65" w:type="dxa"/>
              <w:bottom w:w="55" w:type="dxa"/>
              <w:end w:w="65" w:type="dxa"/>
            </w:tcMar>
          </w:tcPr>
          <w:p>
            <w:pPr>
              <w:spacing w:before="0" w:after="0"/>
              <w:jc w:val="left"/>
            </w:pPr>
            <w:r/>
            <w:r>
              <w:rPr>
                <w:rFonts w:ascii="Times New Roman" w:hAnsi="Times New Roman" w:eastAsia="Times New Roman"/>
                <w:sz w:val="16"/>
              </w:rPr>
              <w:t>Iᵢⱼ</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Масштаб потенційного впливу на qⱼ</w:t>
            </w:r>
          </w:p>
        </w:tc>
        <w:tc>
          <w:tcPr>
            <w:tcW w:type="dxa" w:w="3061"/>
            <w:vAlign w:val="top"/>
            <w:tcMar>
              <w:top w:w="55" w:type="dxa"/>
              <w:start w:w="65" w:type="dxa"/>
              <w:bottom w:w="55" w:type="dxa"/>
              <w:end w:w="65" w:type="dxa"/>
            </w:tcMar>
          </w:tcPr>
          <w:p>
            <w:pPr>
              <w:spacing w:before="0" w:after="0"/>
              <w:jc w:val="left"/>
            </w:pPr>
            <w:r/>
            <w:r>
              <w:rPr>
                <w:rFonts w:ascii="Times New Roman" w:hAnsi="Times New Roman" w:eastAsia="Times New Roman"/>
                <w:sz w:val="16"/>
              </w:rPr>
              <w:t>Критерії якості, severity, доменні правила</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Має бути відокремлений від імовірності</w:t>
            </w:r>
          </w:p>
        </w:tc>
      </w:tr>
      <w:tr>
        <w:tc>
          <w:tcPr>
            <w:tcW w:type="dxa" w:w="1701"/>
            <w:vAlign w:val="top"/>
            <w:tcMar>
              <w:top w:w="55" w:type="dxa"/>
              <w:start w:w="65" w:type="dxa"/>
              <w:bottom w:w="55" w:type="dxa"/>
              <w:end w:w="65" w:type="dxa"/>
            </w:tcMar>
          </w:tcPr>
          <w:p>
            <w:pPr>
              <w:spacing w:before="0" w:after="0"/>
              <w:jc w:val="left"/>
            </w:pPr>
            <w:r/>
            <w:r>
              <w:rPr>
                <w:rFonts w:ascii="Times New Roman" w:hAnsi="Times New Roman" w:eastAsia="Times New Roman"/>
                <w:sz w:val="16"/>
              </w:rPr>
              <w:t>κⱼ(C)</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Контекстна критичність характеристики</w:t>
            </w:r>
          </w:p>
        </w:tc>
        <w:tc>
          <w:tcPr>
            <w:tcW w:type="dxa" w:w="3061"/>
            <w:vAlign w:val="top"/>
            <w:tcMar>
              <w:top w:w="55" w:type="dxa"/>
              <w:start w:w="65" w:type="dxa"/>
              <w:bottom w:w="55" w:type="dxa"/>
              <w:end w:w="65" w:type="dxa"/>
            </w:tcMar>
          </w:tcPr>
          <w:p>
            <w:pPr>
              <w:spacing w:before="0" w:after="0"/>
              <w:jc w:val="left"/>
            </w:pPr>
            <w:r/>
            <w:r>
              <w:rPr>
                <w:rFonts w:ascii="Times New Roman" w:hAnsi="Times New Roman" w:eastAsia="Times New Roman"/>
                <w:sz w:val="16"/>
              </w:rPr>
              <w:t>Тип системи, регуляторні вимоги, бізнес-критичність</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Змінює пріоритет ризику, але не статистичний зв’язок ознак</w:t>
            </w:r>
          </w:p>
        </w:tc>
      </w:tr>
      <w:tr>
        <w:tc>
          <w:tcPr>
            <w:tcW w:type="dxa" w:w="1701"/>
            <w:vAlign w:val="top"/>
            <w:tcMar>
              <w:top w:w="55" w:type="dxa"/>
              <w:start w:w="65" w:type="dxa"/>
              <w:bottom w:w="55" w:type="dxa"/>
              <w:end w:w="65" w:type="dxa"/>
            </w:tcMar>
          </w:tcPr>
          <w:p>
            <w:pPr>
              <w:spacing w:before="0" w:after="0"/>
              <w:jc w:val="left"/>
            </w:pPr>
            <w:r/>
            <w:r>
              <w:rPr>
                <w:rFonts w:ascii="Times New Roman" w:hAnsi="Times New Roman" w:eastAsia="Times New Roman"/>
                <w:sz w:val="16"/>
              </w:rPr>
              <w:t>confᵢ</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Достовірність виявлення самого дефекту</w:t>
            </w:r>
          </w:p>
        </w:tc>
        <w:tc>
          <w:tcPr>
            <w:tcW w:type="dxa" w:w="3061"/>
            <w:vAlign w:val="top"/>
            <w:tcMar>
              <w:top w:w="55" w:type="dxa"/>
              <w:start w:w="65" w:type="dxa"/>
              <w:bottom w:w="55" w:type="dxa"/>
              <w:end w:w="65" w:type="dxa"/>
            </w:tcMar>
          </w:tcPr>
          <w:p>
            <w:pPr>
              <w:spacing w:before="0" w:after="0"/>
              <w:jc w:val="left"/>
            </w:pPr>
            <w:r/>
            <w:r>
              <w:rPr>
                <w:rFonts w:ascii="Times New Roman" w:hAnsi="Times New Roman" w:eastAsia="Times New Roman"/>
                <w:sz w:val="16"/>
              </w:rPr>
              <w:t>Якість детектора/рев’ю/експерта</w:t>
            </w:r>
          </w:p>
        </w:tc>
        <w:tc>
          <w:tcPr>
            <w:tcW w:type="dxa" w:w="2268"/>
            <w:vAlign w:val="top"/>
            <w:tcMar>
              <w:top w:w="55" w:type="dxa"/>
              <w:start w:w="65" w:type="dxa"/>
              <w:bottom w:w="55" w:type="dxa"/>
              <w:end w:w="65" w:type="dxa"/>
            </w:tcMar>
          </w:tcPr>
          <w:p>
            <w:pPr>
              <w:spacing w:before="0" w:after="0"/>
              <w:jc w:val="left"/>
            </w:pPr>
            <w:r/>
            <w:r>
              <w:rPr>
                <w:rFonts w:ascii="Times New Roman" w:hAnsi="Times New Roman" w:eastAsia="Times New Roman"/>
                <w:sz w:val="16"/>
              </w:rPr>
              <w:t>Зберігається окремо від rᵢⱼ</w:t>
            </w:r>
          </w:p>
        </w:tc>
      </w:tr>
    </w:tbl>
    <w:p/>
    <w:p>
      <w:pPr>
        <w:spacing w:line="360" w:lineRule="auto" w:before="0" w:after="0"/>
        <w:ind w:firstLine="709"/>
        <w:jc w:val="both"/>
      </w:pPr>
      <w:r>
        <w:rPr>
          <w:rFonts w:ascii="Times New Roman" w:hAnsi="Times New Roman" w:eastAsia="Times New Roman"/>
          <w:sz w:val="28"/>
        </w:rPr>
        <w:t>Для характеристики qⱼ, як правило, існує декілька одночасних дефектів. Введемо Dⱼ = {dᵢ ∈ D | ρᵢⱼ &gt; 0} — множину дефектів, релевантних qⱼ, а Depⱼ = Eᴰ|Dⱼ — відношення залежностей, індуковане на Dⱼ графом Gᴰ. Їх агрегація є окремою задачею. Проста сума може перевищувати одиницю і створювати подвійний рахунок взаємопов’язаних дефектів; середнє, навпаки, може приховати один критичний ризик. Тому модель визначає загальний ризик через оператор Ψⱼ, форма якого повинна бути обрана відповідно до типу даних і залежностей:</w:t>
      </w:r>
    </w:p>
    <w:p>
      <w:pPr>
        <w:spacing w:before="60" w:after="60"/>
        <w:jc w:val="center"/>
      </w:pPr>
      <w:r>
        <w:rPr>
          <w:rFonts w:ascii="Times New Roman" w:hAnsi="Times New Roman" w:eastAsia="Times New Roman"/>
          <w:sz w:val="28"/>
        </w:rPr>
        <w:t>Riskⱼ = Ψⱼ({rᵢⱼ : dᵢ ∈ Dⱼ}, Depⱼ).</w:t>
      </w:r>
    </w:p>
    <w:p>
      <w:pPr>
        <w:spacing w:line="360" w:lineRule="auto" w:before="0" w:after="0"/>
        <w:ind w:firstLine="709"/>
        <w:jc w:val="both"/>
      </w:pPr>
      <w:r>
        <w:rPr>
          <w:rFonts w:ascii="Times New Roman" w:hAnsi="Times New Roman" w:eastAsia="Times New Roman"/>
          <w:sz w:val="28"/>
        </w:rPr>
        <w:t>Для критичних сценаріїв базовим консервативним варіантом може бути maxᵢ rᵢⱼ, оскільки він не дозволяє усередненням приховати один небезпечний дефект. Для незалежних або умовно незалежних ризиків можливе ймовірнісне агрегування типу noisy-OR, але його припущення повинні бути перевірені. Отже, Ψⱼ є параметром моделі, а не фіксованою універсальною формулою.</w:t>
      </w:r>
    </w:p>
    <w:p>
      <w:pPr>
        <w:spacing w:line="360" w:lineRule="auto" w:before="0" w:after="0"/>
        <w:ind w:firstLine="709"/>
        <w:jc w:val="both"/>
      </w:pPr>
      <w:r>
        <w:rPr>
          <w:rFonts w:ascii="Times New Roman" w:hAnsi="Times New Roman" w:eastAsia="Times New Roman"/>
          <w:sz w:val="28"/>
        </w:rPr>
        <w:t>Наступним рівнем є пріоритезація коригувань. Високий ризик для qⱼ є важливим, але не єдиним фактором. Доцільність раннього виправлення залежить також від пріоритету самої вимоги, структурної центральності у графі залежностей, вартості зміни, стадії життєвого циклу та можливості каскадного впливу на інші артефакти. Тому для дефекту dᵢ вводиться вектор пріоритезації:</w:t>
      </w:r>
    </w:p>
    <w:p>
      <w:pPr>
        <w:spacing w:before="60" w:after="60"/>
        <w:jc w:val="center"/>
      </w:pPr>
      <w:r>
        <w:rPr>
          <w:rFonts w:ascii="Times New Roman" w:hAnsi="Times New Roman" w:eastAsia="Times New Roman"/>
          <w:sz w:val="28"/>
        </w:rPr>
        <w:t>Πᵢ = (maxⱼ rᵢⱼ, confᵢ, bpᵢ, centᵢ, spreadᵢ, costᵢ, τᵢ).</w:t>
      </w:r>
    </w:p>
    <w:p>
      <w:pPr>
        <w:spacing w:line="360" w:lineRule="auto" w:before="0" w:after="0"/>
        <w:ind w:firstLine="709"/>
        <w:jc w:val="both"/>
      </w:pPr>
      <w:r>
        <w:rPr>
          <w:rFonts w:ascii="Times New Roman" w:hAnsi="Times New Roman" w:eastAsia="Times New Roman"/>
          <w:sz w:val="28"/>
        </w:rPr>
        <w:t>Тут confᵢ — достовірність виявлення дефекту; bpᵢ — бізнес- або системний пріоритет пов’язаної вимоги; centᵢ — центральність у графі трасування/залежностей; spreadᵢ — очікувана кількість залежних артефактів, які можуть бути зачеплені; costᵢ — оцінка вартості коригування; τᵢ — поточна стадія. Основним поданням залишається саме вектор Πᵢ. Високий ризик за низького confᵢ повинен ініціювати підтвердження дефекту експертним або додатковим автоматизованим аналізом до незворотної коригувальної дії. Якщо для автоматичного ранжування потрібна скалярна функція Priorityθ(Πᵢ), її параметри повинні бути калібровані або затверджені контекстними правилами.</w:t>
      </w:r>
    </w:p>
    <w:p>
      <w:pPr>
        <w:spacing w:before="80" w:after="60"/>
        <w:jc w:val="left"/>
      </w:pPr>
      <w:r>
        <w:rPr>
          <w:rFonts w:ascii="Times New Roman" w:hAnsi="Times New Roman" w:eastAsia="Times New Roman"/>
          <w:sz w:val="28"/>
        </w:rPr>
        <w:t>Таблиця 4.10 – Фактори пріоритезації дефектів</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57"/>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Фактор</w:t>
            </w:r>
          </w:p>
        </w:tc>
        <w:tc>
          <w:tcPr>
            <w:tcW w:type="dxa" w:w="2494"/>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Інтерпретація</w:t>
            </w:r>
          </w:p>
        </w:tc>
        <w:tc>
          <w:tcPr>
            <w:tcW w:type="dxa" w:w="3175"/>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Чому важливий</w:t>
            </w:r>
          </w:p>
        </w:tc>
        <w:tc>
          <w:tcPr>
            <w:tcW w:type="dxa" w:w="255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Типове джерело</w:t>
            </w:r>
          </w:p>
        </w:tc>
      </w:tr>
      <w:tr>
        <w:tc>
          <w:tcPr>
            <w:tcW w:type="dxa" w:w="1757"/>
            <w:vAlign w:val="top"/>
            <w:tcMar>
              <w:top w:w="55" w:type="dxa"/>
              <w:start w:w="65" w:type="dxa"/>
              <w:bottom w:w="55" w:type="dxa"/>
              <w:end w:w="65" w:type="dxa"/>
            </w:tcMar>
          </w:tcPr>
          <w:p>
            <w:pPr>
              <w:spacing w:before="0" w:after="0"/>
              <w:jc w:val="left"/>
            </w:pPr>
            <w:r>
              <w:rPr>
                <w:rFonts w:ascii="Times New Roman" w:hAnsi="Times New Roman" w:eastAsia="Times New Roman"/>
                <w:sz w:val="16"/>
              </w:rPr>
              <w:t>maxⱼ rᵢⱼ</w:t>
            </w:r>
          </w:p>
        </w:tc>
        <w:tc>
          <w:tcPr>
            <w:tcW w:type="dxa" w:w="2494"/>
            <w:vAlign w:val="top"/>
            <w:tcMar>
              <w:top w:w="55" w:type="dxa"/>
              <w:start w:w="65" w:type="dxa"/>
              <w:bottom w:w="55" w:type="dxa"/>
              <w:end w:w="65" w:type="dxa"/>
            </w:tcMar>
          </w:tcPr>
          <w:p>
            <w:pPr>
              <w:spacing w:before="0" w:after="0"/>
              <w:jc w:val="left"/>
            </w:pPr>
            <w:r/>
            <w:r>
              <w:rPr>
                <w:rFonts w:ascii="Times New Roman" w:hAnsi="Times New Roman" w:eastAsia="Times New Roman"/>
                <w:sz w:val="16"/>
              </w:rPr>
              <w:t>Найбільший локальний ризик серед характеристик</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Запобігає маскуванню критичного наслідку</w:t>
            </w:r>
          </w:p>
        </w:tc>
        <w:tc>
          <w:tcPr>
            <w:tcW w:type="dxa" w:w="2551"/>
            <w:vAlign w:val="top"/>
            <w:tcMar>
              <w:top w:w="55" w:type="dxa"/>
              <w:start w:w="65" w:type="dxa"/>
              <w:bottom w:w="55" w:type="dxa"/>
              <w:end w:w="65" w:type="dxa"/>
            </w:tcMar>
          </w:tcPr>
          <w:p>
            <w:pPr>
              <w:spacing w:before="0" w:after="0"/>
              <w:jc w:val="left"/>
            </w:pPr>
            <w:r/>
            <w:r>
              <w:rPr>
                <w:rFonts w:ascii="Times New Roman" w:hAnsi="Times New Roman" w:eastAsia="Times New Roman"/>
                <w:sz w:val="16"/>
              </w:rPr>
              <w:t>Модель ризику</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bpᵢ</w:t>
            </w:r>
          </w:p>
        </w:tc>
        <w:tc>
          <w:tcPr>
            <w:tcW w:type="dxa" w:w="2494"/>
            <w:vAlign w:val="top"/>
            <w:tcMar>
              <w:top w:w="55" w:type="dxa"/>
              <w:start w:w="65" w:type="dxa"/>
              <w:bottom w:w="55" w:type="dxa"/>
              <w:end w:w="65" w:type="dxa"/>
            </w:tcMar>
          </w:tcPr>
          <w:p>
            <w:pPr>
              <w:spacing w:before="0" w:after="0"/>
              <w:jc w:val="left"/>
            </w:pPr>
            <w:r/>
            <w:r>
              <w:rPr>
                <w:rFonts w:ascii="Times New Roman" w:hAnsi="Times New Roman" w:eastAsia="Times New Roman"/>
                <w:sz w:val="16"/>
              </w:rPr>
              <w:t>Пріоритет вимоги/функції</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Розрізняє критичні та другорядні вимоги</w:t>
            </w:r>
          </w:p>
        </w:tc>
        <w:tc>
          <w:tcPr>
            <w:tcW w:type="dxa" w:w="2551"/>
            <w:vAlign w:val="top"/>
            <w:tcMar>
              <w:top w:w="55" w:type="dxa"/>
              <w:start w:w="65" w:type="dxa"/>
              <w:bottom w:w="55" w:type="dxa"/>
              <w:end w:w="65" w:type="dxa"/>
            </w:tcMar>
          </w:tcPr>
          <w:p>
            <w:pPr>
              <w:spacing w:before="0" w:after="0"/>
              <w:jc w:val="left"/>
            </w:pPr>
            <w:r>
              <w:rPr>
                <w:rFonts w:ascii="Times New Roman" w:hAnsi="Times New Roman" w:eastAsia="Times New Roman"/>
                <w:sz w:val="16"/>
              </w:rPr>
              <w:t>Беклог, SRS, рішення зацікавлених сторін</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centᵢ</w:t>
            </w:r>
          </w:p>
        </w:tc>
        <w:tc>
          <w:tcPr>
            <w:tcW w:type="dxa" w:w="2494"/>
            <w:vAlign w:val="top"/>
            <w:tcMar>
              <w:top w:w="55" w:type="dxa"/>
              <w:start w:w="65" w:type="dxa"/>
              <w:bottom w:w="55" w:type="dxa"/>
              <w:end w:w="65" w:type="dxa"/>
            </w:tcMar>
          </w:tcPr>
          <w:p>
            <w:pPr>
              <w:spacing w:before="0" w:after="0"/>
              <w:jc w:val="left"/>
            </w:pPr>
            <w:r/>
            <w:r>
              <w:rPr>
                <w:rFonts w:ascii="Times New Roman" w:hAnsi="Times New Roman" w:eastAsia="Times New Roman"/>
                <w:sz w:val="16"/>
              </w:rPr>
              <w:t>Центральність у мережі зв’язків</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Дефект центральної вимоги може мати каскадний ефект</w:t>
            </w:r>
          </w:p>
        </w:tc>
        <w:tc>
          <w:tcPr>
            <w:tcW w:type="dxa" w:w="2551"/>
            <w:vAlign w:val="top"/>
            <w:tcMar>
              <w:top w:w="55" w:type="dxa"/>
              <w:start w:w="65" w:type="dxa"/>
              <w:bottom w:w="55" w:type="dxa"/>
              <w:end w:w="65" w:type="dxa"/>
            </w:tcMar>
          </w:tcPr>
          <w:p>
            <w:pPr>
              <w:spacing w:before="0" w:after="0"/>
              <w:jc w:val="left"/>
            </w:pPr>
            <w:r/>
            <w:r>
              <w:rPr>
                <w:rFonts w:ascii="Times New Roman" w:hAnsi="Times New Roman" w:eastAsia="Times New Roman"/>
                <w:sz w:val="16"/>
              </w:rPr>
              <w:t>Граф трасування</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spreadᵢ</w:t>
            </w:r>
          </w:p>
        </w:tc>
        <w:tc>
          <w:tcPr>
            <w:tcW w:type="dxa" w:w="2494"/>
            <w:vAlign w:val="top"/>
            <w:tcMar>
              <w:top w:w="55" w:type="dxa"/>
              <w:start w:w="65" w:type="dxa"/>
              <w:bottom w:w="55" w:type="dxa"/>
              <w:end w:w="65" w:type="dxa"/>
            </w:tcMar>
          </w:tcPr>
          <w:p>
            <w:pPr>
              <w:spacing w:before="0" w:after="0"/>
              <w:jc w:val="left"/>
            </w:pPr>
            <w:r>
              <w:rPr>
                <w:rFonts w:ascii="Times New Roman" w:hAnsi="Times New Roman" w:eastAsia="Times New Roman"/>
                <w:sz w:val="16"/>
              </w:rPr>
              <w:t>Обсяг потенційного аналізу впливу</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Показує ширину можливого поширення зміни</w:t>
            </w:r>
          </w:p>
        </w:tc>
        <w:tc>
          <w:tcPr>
            <w:tcW w:type="dxa" w:w="2551"/>
            <w:vAlign w:val="top"/>
            <w:tcMar>
              <w:top w:w="55" w:type="dxa"/>
              <w:start w:w="65" w:type="dxa"/>
              <w:bottom w:w="55" w:type="dxa"/>
              <w:end w:w="65" w:type="dxa"/>
            </w:tcMar>
          </w:tcPr>
          <w:p>
            <w:pPr>
              <w:spacing w:before="0" w:after="0"/>
              <w:jc w:val="left"/>
            </w:pPr>
            <w:r/>
            <w:r>
              <w:rPr>
                <w:rFonts w:ascii="Times New Roman" w:hAnsi="Times New Roman" w:eastAsia="Times New Roman"/>
                <w:sz w:val="16"/>
              </w:rPr>
              <w:t>Трасування до архітектури, коду, тестів</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costᵢ</w:t>
            </w:r>
          </w:p>
        </w:tc>
        <w:tc>
          <w:tcPr>
            <w:tcW w:type="dxa" w:w="2494"/>
            <w:vAlign w:val="top"/>
            <w:tcMar>
              <w:top w:w="55" w:type="dxa"/>
              <w:start w:w="65" w:type="dxa"/>
              <w:bottom w:w="55" w:type="dxa"/>
              <w:end w:w="65" w:type="dxa"/>
            </w:tcMar>
          </w:tcPr>
          <w:p>
            <w:pPr>
              <w:spacing w:before="0" w:after="0"/>
              <w:jc w:val="left"/>
            </w:pPr>
            <w:r/>
            <w:r>
              <w:rPr>
                <w:rFonts w:ascii="Times New Roman" w:hAnsi="Times New Roman" w:eastAsia="Times New Roman"/>
                <w:sz w:val="16"/>
              </w:rPr>
              <w:t>Очікувана вартість коригування</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Дозволяє планувати ресурси, але не повинна “скасовувати” критичний ризик</w:t>
            </w:r>
          </w:p>
        </w:tc>
        <w:tc>
          <w:tcPr>
            <w:tcW w:type="dxa" w:w="2551"/>
            <w:vAlign w:val="top"/>
            <w:tcMar>
              <w:top w:w="55" w:type="dxa"/>
              <w:start w:w="65" w:type="dxa"/>
              <w:bottom w:w="55" w:type="dxa"/>
              <w:end w:w="65" w:type="dxa"/>
            </w:tcMar>
          </w:tcPr>
          <w:p>
            <w:pPr>
              <w:spacing w:before="0" w:after="0"/>
              <w:jc w:val="left"/>
            </w:pPr>
            <w:r/>
            <w:r>
              <w:rPr>
                <w:rFonts w:ascii="Times New Roman" w:hAnsi="Times New Roman" w:eastAsia="Times New Roman"/>
                <w:sz w:val="16"/>
              </w:rPr>
              <w:t>Експертна/історична оцінка</w:t>
            </w:r>
          </w:p>
        </w:tc>
      </w:tr>
      <w:tr>
        <w:tc>
          <w:tcPr>
            <w:tcW w:type="dxa" w:w="1757"/>
            <w:vAlign w:val="top"/>
            <w:tcMar>
              <w:top w:w="55" w:type="dxa"/>
              <w:start w:w="65" w:type="dxa"/>
              <w:bottom w:w="55" w:type="dxa"/>
              <w:end w:w="65" w:type="dxa"/>
            </w:tcMar>
          </w:tcPr>
          <w:p>
            <w:pPr>
              <w:spacing w:before="0" w:after="0"/>
              <w:jc w:val="left"/>
            </w:pPr>
            <w:r/>
            <w:r>
              <w:rPr>
                <w:rFonts w:ascii="Times New Roman" w:hAnsi="Times New Roman" w:eastAsia="Times New Roman"/>
                <w:sz w:val="16"/>
              </w:rPr>
              <w:t>τᵢ</w:t>
            </w:r>
          </w:p>
        </w:tc>
        <w:tc>
          <w:tcPr>
            <w:tcW w:type="dxa" w:w="2494"/>
            <w:vAlign w:val="top"/>
            <w:tcMar>
              <w:top w:w="55" w:type="dxa"/>
              <w:start w:w="65" w:type="dxa"/>
              <w:bottom w:w="55" w:type="dxa"/>
              <w:end w:w="65" w:type="dxa"/>
            </w:tcMar>
          </w:tcPr>
          <w:p>
            <w:pPr>
              <w:spacing w:before="0" w:after="0"/>
              <w:jc w:val="left"/>
            </w:pPr>
            <w:r/>
            <w:r>
              <w:rPr>
                <w:rFonts w:ascii="Times New Roman" w:hAnsi="Times New Roman" w:eastAsia="Times New Roman"/>
                <w:sz w:val="16"/>
              </w:rPr>
              <w:t>Стадія виявлення</w:t>
            </w:r>
          </w:p>
        </w:tc>
        <w:tc>
          <w:tcPr>
            <w:tcW w:type="dxa" w:w="3175"/>
            <w:vAlign w:val="top"/>
            <w:tcMar>
              <w:top w:w="55" w:type="dxa"/>
              <w:start w:w="65" w:type="dxa"/>
              <w:bottom w:w="55" w:type="dxa"/>
              <w:end w:w="65" w:type="dxa"/>
            </w:tcMar>
          </w:tcPr>
          <w:p>
            <w:pPr>
              <w:spacing w:before="0" w:after="0"/>
              <w:jc w:val="left"/>
            </w:pPr>
            <w:r/>
            <w:r>
              <w:rPr>
                <w:rFonts w:ascii="Times New Roman" w:hAnsi="Times New Roman" w:eastAsia="Times New Roman"/>
                <w:sz w:val="16"/>
              </w:rPr>
              <w:t>Пізнє виправлення часто потребує ширшого повторного аналізу</w:t>
            </w:r>
          </w:p>
        </w:tc>
        <w:tc>
          <w:tcPr>
            <w:tcW w:type="dxa" w:w="2551"/>
            <w:vAlign w:val="top"/>
            <w:tcMar>
              <w:top w:w="55" w:type="dxa"/>
              <w:start w:w="65" w:type="dxa"/>
              <w:bottom w:w="55" w:type="dxa"/>
              <w:end w:w="65" w:type="dxa"/>
            </w:tcMar>
          </w:tcPr>
          <w:p>
            <w:pPr>
              <w:spacing w:before="0" w:after="0"/>
              <w:jc w:val="left"/>
            </w:pPr>
            <w:r/>
            <w:r>
              <w:rPr>
                <w:rFonts w:ascii="Times New Roman" w:hAnsi="Times New Roman" w:eastAsia="Times New Roman"/>
                <w:sz w:val="16"/>
              </w:rPr>
              <w:t>M_process</w:t>
            </w:r>
          </w:p>
        </w:tc>
      </w:tr>
      <w:tr>
        <w:tc>
          <w:tcPr>
            <w:tcW w:type="dxa" w:w="1757"/>
            <w:vAlign w:val="top"/>
            <w:tcMar>
              <w:top w:w="55" w:type="dxa"/>
              <w:start w:w="65" w:type="dxa"/>
              <w:bottom w:w="55" w:type="dxa"/>
              <w:end w:w="65" w:type="dxa"/>
            </w:tcMar>
          </w:tcPr>
          <w:p>
            <w:pPr>
              <w:spacing w:before="0" w:after="0"/>
              <w:jc w:val="left"/>
            </w:pPr>
            <w:r>
              <w:rPr>
                <w:rFonts w:ascii="Times New Roman" w:hAnsi="Times New Roman" w:eastAsia="Times New Roman"/>
                <w:sz w:val="16"/>
              </w:rPr>
              <w:t>confᵢ</w:t>
            </w:r>
          </w:p>
        </w:tc>
        <w:tc>
          <w:tcPr>
            <w:tcW w:type="dxa" w:w="2494"/>
            <w:vAlign w:val="top"/>
            <w:tcMar>
              <w:top w:w="55" w:type="dxa"/>
              <w:start w:w="65" w:type="dxa"/>
              <w:bottom w:w="55" w:type="dxa"/>
              <w:end w:w="65" w:type="dxa"/>
            </w:tcMar>
          </w:tcPr>
          <w:p>
            <w:pPr>
              <w:spacing w:before="0" w:after="0"/>
              <w:jc w:val="left"/>
            </w:pPr>
            <w:r>
              <w:rPr>
                <w:rFonts w:ascii="Times New Roman" w:hAnsi="Times New Roman" w:eastAsia="Times New Roman"/>
                <w:sz w:val="16"/>
              </w:rPr>
              <w:t>Достовірність виявлення дефекту</w:t>
            </w:r>
          </w:p>
        </w:tc>
        <w:tc>
          <w:tcPr>
            <w:tcW w:type="dxa" w:w="3175"/>
            <w:vAlign w:val="top"/>
            <w:tcMar>
              <w:top w:w="55" w:type="dxa"/>
              <w:start w:w="65" w:type="dxa"/>
              <w:bottom w:w="55" w:type="dxa"/>
              <w:end w:w="65" w:type="dxa"/>
            </w:tcMar>
          </w:tcPr>
          <w:p>
            <w:pPr>
              <w:spacing w:before="0" w:after="0"/>
              <w:jc w:val="left"/>
            </w:pPr>
            <w:r>
              <w:rPr>
                <w:rFonts w:ascii="Times New Roman" w:hAnsi="Times New Roman" w:eastAsia="Times New Roman"/>
                <w:sz w:val="16"/>
              </w:rPr>
              <w:t>Визначає потребу в додатковому підтвердженні перед коригуванням</w:t>
            </w:r>
          </w:p>
        </w:tc>
        <w:tc>
          <w:tcPr>
            <w:tcW w:type="dxa" w:w="2551"/>
            <w:vAlign w:val="top"/>
            <w:tcMar>
              <w:top w:w="55" w:type="dxa"/>
              <w:start w:w="65" w:type="dxa"/>
              <w:bottom w:w="55" w:type="dxa"/>
              <w:end w:w="65" w:type="dxa"/>
            </w:tcMar>
          </w:tcPr>
          <w:p>
            <w:pPr>
              <w:spacing w:before="0" w:after="0"/>
              <w:jc w:val="left"/>
            </w:pPr>
            <w:r>
              <w:rPr>
                <w:rFonts w:ascii="Times New Roman" w:hAnsi="Times New Roman" w:eastAsia="Times New Roman"/>
                <w:sz w:val="16"/>
              </w:rPr>
              <w:t>Якість детектора, рев’ю або експертного підтвердження</w:t>
            </w:r>
          </w:p>
        </w:tc>
      </w:tr>
    </w:tbl>
    <w:p/>
    <w:p>
      <w:pPr>
        <w:spacing w:line="360" w:lineRule="auto" w:before="0" w:after="0"/>
        <w:ind w:firstLine="709"/>
        <w:jc w:val="both"/>
      </w:pPr>
      <w:r>
        <w:rPr>
          <w:rFonts w:ascii="Times New Roman" w:hAnsi="Times New Roman" w:eastAsia="Times New Roman"/>
          <w:sz w:val="28"/>
        </w:rPr>
        <w:t>Коригувальні впливи подамо множиною Aᶜᵒʳʳ = {a₁, …, aₕ}. Кожна дія повинна мати ціль, тип зміни, очікуваний ефект, залежні артефакти, вартість та критерій перевірки результату. У структурованому вигляді:</w:t>
      </w:r>
    </w:p>
    <w:p>
      <w:pPr>
        <w:spacing w:before="60" w:after="60"/>
        <w:jc w:val="center"/>
      </w:pPr>
      <w:r>
        <w:rPr>
          <w:rFonts w:ascii="Times New Roman" w:hAnsi="Times New Roman" w:eastAsia="Times New Roman"/>
          <w:sz w:val="28"/>
        </w:rPr>
        <w:t>aₖᶜᵒʳʳ = (targetₖ, changeₖ, expectedₖ, depsₖ, costₖ, verifyₖ).</w:t>
      </w:r>
    </w:p>
    <w:p>
      <w:pPr>
        <w:spacing w:line="360" w:lineRule="auto" w:before="0" w:after="0"/>
        <w:ind w:firstLine="709"/>
        <w:jc w:val="both"/>
      </w:pPr>
      <w:r>
        <w:rPr>
          <w:rFonts w:ascii="Times New Roman" w:hAnsi="Times New Roman" w:eastAsia="Times New Roman"/>
          <w:sz w:val="28"/>
        </w:rPr>
        <w:t>Важливо, що модель не встановлює жорсткого правила “один тип дефекту — одна дія”. Наприклад, порушення трасованості може бути виправлене відновленням зв’язку, але якщо під час цього з’ясовано відсутність реалізації або тесту, необхідні додаткові дії. Аналогічно, неоднозначність може вимагати не лише редагування формулювання, а й узгодження із зацікавленими сторонами та оновлення пов’язаних критеріїв приймання.</w:t>
      </w:r>
    </w:p>
    <w:p>
      <w:pPr>
        <w:pageBreakBefore/>
        <w:spacing w:before="80" w:after="60"/>
        <w:jc w:val="left"/>
      </w:pPr>
      <w:r>
        <w:rPr>
          <w:rFonts w:ascii="Times New Roman" w:hAnsi="Times New Roman" w:eastAsia="Times New Roman"/>
          <w:sz w:val="28"/>
        </w:rPr>
        <w:t>Таблиця 4.11 – Відповідність типових дефектів і коригувальних впливів</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041"/>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Дефект</w:t>
            </w:r>
          </w:p>
        </w:tc>
        <w:tc>
          <w:tcPr>
            <w:tcW w:type="dxa" w:w="2835"/>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Первинна дія</w:t>
            </w:r>
          </w:p>
        </w:tc>
        <w:tc>
          <w:tcPr>
            <w:tcW w:type="dxa" w:w="2948"/>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Залежні перевірки</w:t>
            </w:r>
          </w:p>
        </w:tc>
        <w:tc>
          <w:tcPr>
            <w:tcW w:type="dxa" w:w="2154"/>
            <w:vAlign w:val="center"/>
            <w:tcMar>
              <w:top w:w="55" w:type="dxa"/>
              <w:start w:w="65" w:type="dxa"/>
              <w:bottom w:w="55" w:type="dxa"/>
              <w:end w:w="65" w:type="dxa"/>
            </w:tcMar>
            <w:shd w:fill="D9E2F3"/>
          </w:tcPr>
          <w:p>
            <w:pPr>
              <w:spacing w:before="0" w:after="0"/>
              <w:jc w:val="center"/>
            </w:pPr>
            <w:r/>
            <w:r>
              <w:rPr>
                <w:rFonts w:ascii="Times New Roman" w:hAnsi="Times New Roman" w:eastAsia="Times New Roman"/>
                <w:b/>
                <w:sz w:val="16"/>
              </w:rPr>
              <w:t>Очікуваний результат</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Неповнота</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Додати відсутню вимогу/умову/критерій</w:t>
            </w:r>
          </w:p>
        </w:tc>
        <w:tc>
          <w:tcPr>
            <w:tcW w:type="dxa" w:w="2948"/>
            <w:vAlign w:val="top"/>
            <w:tcMar>
              <w:top w:w="55" w:type="dxa"/>
              <w:start w:w="65" w:type="dxa"/>
              <w:bottom w:w="55" w:type="dxa"/>
              <w:end w:w="65" w:type="dxa"/>
            </w:tcMar>
          </w:tcPr>
          <w:p>
            <w:pPr>
              <w:spacing w:before="0" w:after="0"/>
              <w:jc w:val="left"/>
            </w:pPr>
            <w:r>
              <w:rPr>
                <w:rFonts w:ascii="Times New Roman" w:hAnsi="Times New Roman" w:eastAsia="Times New Roman"/>
                <w:sz w:val="16"/>
              </w:rPr>
              <w:t>Покриття, узгодженість, трасованість</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Зменшення дефіциту специфікації</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Неоднозначність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Уточнити термінологію та структуру</w:t>
            </w:r>
          </w:p>
        </w:tc>
        <w:tc>
          <w:tcPr>
            <w:tcW w:type="dxa" w:w="2948"/>
            <w:vAlign w:val="top"/>
            <w:tcMar>
              <w:top w:w="55" w:type="dxa"/>
              <w:start w:w="65" w:type="dxa"/>
              <w:bottom w:w="55" w:type="dxa"/>
              <w:end w:w="65" w:type="dxa"/>
            </w:tcMar>
          </w:tcPr>
          <w:p>
            <w:pPr>
              <w:spacing w:before="0" w:after="0"/>
              <w:jc w:val="left"/>
            </w:pPr>
            <w:r>
              <w:rPr>
                <w:rFonts w:ascii="Times New Roman" w:hAnsi="Times New Roman" w:eastAsia="Times New Roman"/>
                <w:sz w:val="16"/>
              </w:rPr>
              <w:t>Повторне рев’ю/NLP-аналіз; критерії</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Однозначніша інтерпретація</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Суперечливість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Узгодити конфлікт і пріоритет</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Перевірка залежних вимог, архітектури й тестів</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Єдина несуперечлива версія</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Неперевірюваність</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Додати вимірюваний критерій</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Можливість побудови тесту/метрики</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Підвищення верифікованості</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Порушення трасованості</w:t>
            </w:r>
          </w:p>
        </w:tc>
        <w:tc>
          <w:tcPr>
            <w:tcW w:type="dxa" w:w="2835"/>
            <w:vAlign w:val="top"/>
            <w:tcMar>
              <w:top w:w="55" w:type="dxa"/>
              <w:start w:w="65" w:type="dxa"/>
              <w:bottom w:w="55" w:type="dxa"/>
              <w:end w:w="65" w:type="dxa"/>
            </w:tcMar>
          </w:tcPr>
          <w:p>
            <w:pPr>
              <w:spacing w:before="0" w:after="0"/>
              <w:jc w:val="left"/>
            </w:pPr>
            <w:r/>
            <w:r>
              <w:rPr>
                <w:rFonts w:ascii="Times New Roman" w:hAnsi="Times New Roman" w:eastAsia="Times New Roman"/>
                <w:sz w:val="16"/>
              </w:rPr>
              <w:t>Створити/відновити trace link</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Impact analysis обох напрямів</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Відновлення керованості змінами</w:t>
            </w:r>
          </w:p>
        </w:tc>
      </w:tr>
      <w:tr>
        <w:tc>
          <w:tcPr>
            <w:tcW w:type="dxa" w:w="2041"/>
            <w:vAlign w:val="top"/>
            <w:tcMar>
              <w:top w:w="55" w:type="dxa"/>
              <w:start w:w="65" w:type="dxa"/>
              <w:bottom w:w="55" w:type="dxa"/>
              <w:end w:w="65" w:type="dxa"/>
            </w:tcMar>
          </w:tcPr>
          <w:p>
            <w:pPr>
              <w:spacing w:before="0" w:after="0"/>
              <w:jc w:val="left"/>
            </w:pPr>
            <w:r/>
            <w:r>
              <w:rPr>
                <w:rFonts w:ascii="Times New Roman" w:hAnsi="Times New Roman" w:eastAsia="Times New Roman"/>
                <w:sz w:val="16"/>
              </w:rPr>
              <w:t>Волатильність</w:t>
            </w:r>
          </w:p>
        </w:tc>
        <w:tc>
          <w:tcPr>
            <w:tcW w:type="dxa" w:w="2835"/>
            <w:vAlign w:val="top"/>
            <w:tcMar>
              <w:top w:w="55" w:type="dxa"/>
              <w:start w:w="65" w:type="dxa"/>
              <w:bottom w:w="55" w:type="dxa"/>
              <w:end w:w="65" w:type="dxa"/>
            </w:tcMar>
          </w:tcPr>
          <w:p>
            <w:pPr>
              <w:spacing w:before="0" w:after="0"/>
              <w:jc w:val="left"/>
            </w:pPr>
            <w:r>
              <w:rPr>
                <w:rFonts w:ascii="Times New Roman" w:hAnsi="Times New Roman" w:eastAsia="Times New Roman"/>
                <w:sz w:val="16"/>
              </w:rPr>
              <w:t>Стабілізувати рішення та зафіксувати керування змінами</w:t>
            </w:r>
          </w:p>
        </w:tc>
        <w:tc>
          <w:tcPr>
            <w:tcW w:type="dxa" w:w="2948"/>
            <w:vAlign w:val="top"/>
            <w:tcMar>
              <w:top w:w="55" w:type="dxa"/>
              <w:start w:w="65" w:type="dxa"/>
              <w:bottom w:w="55" w:type="dxa"/>
              <w:end w:w="65" w:type="dxa"/>
            </w:tcMar>
          </w:tcPr>
          <w:p>
            <w:pPr>
              <w:spacing w:before="0" w:after="0"/>
              <w:jc w:val="left"/>
            </w:pPr>
            <w:r/>
            <w:r>
              <w:rPr>
                <w:rFonts w:ascii="Times New Roman" w:hAnsi="Times New Roman" w:eastAsia="Times New Roman"/>
                <w:sz w:val="16"/>
              </w:rPr>
              <w:t>Версійність усіх залежних артефактів</w:t>
            </w:r>
          </w:p>
        </w:tc>
        <w:tc>
          <w:tcPr>
            <w:tcW w:type="dxa" w:w="2154"/>
            <w:vAlign w:val="top"/>
            <w:tcMar>
              <w:top w:w="55" w:type="dxa"/>
              <w:start w:w="65" w:type="dxa"/>
              <w:bottom w:w="55" w:type="dxa"/>
              <w:end w:w="65" w:type="dxa"/>
            </w:tcMar>
          </w:tcPr>
          <w:p>
            <w:pPr>
              <w:spacing w:before="0" w:after="0"/>
              <w:jc w:val="left"/>
            </w:pPr>
            <w:r/>
            <w:r>
              <w:rPr>
                <w:rFonts w:ascii="Times New Roman" w:hAnsi="Times New Roman" w:eastAsia="Times New Roman"/>
                <w:sz w:val="16"/>
              </w:rPr>
              <w:t>Зменшення розриву між специфікацією і реалізацією</w:t>
            </w:r>
          </w:p>
        </w:tc>
      </w:tr>
    </w:tbl>
    <w:p/>
    <w:p>
      <w:pPr>
        <w:spacing w:line="360" w:lineRule="auto" w:before="0" w:after="0"/>
        <w:ind w:firstLine="709"/>
        <w:jc w:val="both"/>
      </w:pPr>
      <w:r>
        <w:rPr>
          <w:rFonts w:ascii="Times New Roman" w:hAnsi="Times New Roman" w:eastAsia="Times New Roman"/>
          <w:sz w:val="28"/>
        </w:rPr>
        <w:t>Коригувальна дія змінює не абстрактний ризик, а конкретні версіоновані артефакти 𝒜ᵛ: специфікацію, архітектуру, код, тест або їх комбінацію. Відповідно до процесної моделі 4.1 після зміни формується нова версія відповідного артефакту, а залежні метрики та свідчення повинні бути повторно обчислені. Узагальнений цикл має вигляд:</w:t>
      </w:r>
    </w:p>
    <w:p>
      <w:pPr>
        <w:spacing w:before="60" w:after="60"/>
        <w:jc w:val="center"/>
      </w:pPr>
      <w:r>
        <w:rPr>
          <w:rFonts w:ascii="Times New Roman" w:hAnsi="Times New Roman" w:eastAsia="Times New Roman"/>
          <w:sz w:val="28"/>
        </w:rPr>
        <w:t>Dᵛ → R̂ᵛ → Aᶜᵒʳʳ → 𝒜ᵛ⁺¹ → ReEval → Ŷᵛ⁺¹ → R̂ᵛ⁺¹.</w:t>
      </w:r>
    </w:p>
    <w:p>
      <w:pPr>
        <w:spacing w:line="360" w:lineRule="auto" w:before="0" w:after="0"/>
        <w:ind w:firstLine="709"/>
        <w:jc w:val="both"/>
      </w:pPr>
      <w:r>
        <w:rPr>
          <w:rFonts w:ascii="Times New Roman" w:hAnsi="Times New Roman" w:eastAsia="Times New Roman"/>
          <w:sz w:val="28"/>
        </w:rPr>
        <w:t>Порівняння до і після коригування виконується на двох рівнях. Перший рівень — зміна прогнозованого профілю якості Δŷⱼ. Другий — зміна ризикового профілю ΔRiskⱼ. Позитивне Δŷⱼ і негативне ΔRiskⱼ означають, що модель прогнозує покращення стану, але це ще не є остаточним доказом фактичного покращення продукту. На пізніших стадіях воно повинно бути перевірене через Eⱼˢᵗᵃᵗ, Eⱼᵈʸⁿ та фактичні yⱼ.</w:t>
      </w:r>
    </w:p>
    <w:p>
      <w:pPr>
        <w:spacing w:before="60" w:after="60"/>
        <w:jc w:val="center"/>
      </w:pPr>
      <w:r>
        <w:rPr>
          <w:rFonts w:ascii="Times New Roman" w:hAnsi="Times New Roman" w:eastAsia="Times New Roman"/>
          <w:sz w:val="28"/>
        </w:rPr>
        <w:t>Δŷⱼ = ŷⱼᵛ⁺¹ − ŷⱼᵛ,     ΔRiskⱼ = Riskⱼᵛ⁺¹ − Riskⱼᵛ.</w:t>
      </w:r>
    </w:p>
    <w:p>
      <w:pPr>
        <w:spacing w:line="360" w:lineRule="auto" w:before="0" w:after="0"/>
        <w:ind w:firstLine="709"/>
        <w:jc w:val="both"/>
      </w:pPr>
      <w:r>
        <w:rPr>
          <w:rFonts w:ascii="Times New Roman" w:hAnsi="Times New Roman" w:eastAsia="Times New Roman"/>
          <w:sz w:val="28"/>
        </w:rPr>
        <w:t>Щоб оцінити ефект самої коригувальної дії, а не лише зміну прогнозу, у Розділі 5 доцільно використовувати дизайн “до/після” на контрольованих версіях специфікацій. Для кожної дії фіксується початковий дефект, прогнозований ризик, фактична зміна вимог, зміна метрик та подальший фактичний результат. Це дозволить перевірити, чи дійсно запропонована модель правильно пріоритезує дефекти й чи пов’язана корекція з покращенням релевантної qⱼ.</w:t>
      </w:r>
    </w:p>
    <w:p>
      <w:pPr>
        <w:spacing w:line="360" w:lineRule="auto" w:before="0" w:after="0"/>
        <w:ind w:firstLine="709"/>
        <w:jc w:val="both"/>
      </w:pPr>
      <w:r>
        <w:rPr>
          <w:rFonts w:ascii="Times New Roman" w:hAnsi="Times New Roman" w:eastAsia="Times New Roman"/>
          <w:sz w:val="28"/>
        </w:rPr>
        <w:t>Модель повинна враховувати залежності між дефектами. Наприклад, одна неповна вимога може одночасно породжувати відсутність критерію приймання та розрив трасування; виправлення первинної неповноти може усунути декілька вторинних дефектів. Тому введемо орієнтований граф дефектних залежностей Gᴰ = (D, Eᴰ), де ребро dᵢ → dₖ означає, що dₖ може бути похідним або підтримуваним дефектом dᵢ. Такий граф використовується для уникнення подвійного рахунку і для вибору коригування в першопричині.</w:t>
      </w:r>
    </w:p>
    <w:p>
      <w:pPr>
        <w:spacing w:before="60" w:after="60"/>
        <w:jc w:val="center"/>
      </w:pPr>
      <w:r>
        <w:rPr>
          <w:rFonts w:ascii="Times New Roman" w:hAnsi="Times New Roman" w:eastAsia="Times New Roman"/>
          <w:sz w:val="28"/>
        </w:rPr>
        <w:t>Gᴰ = (D, Eᴰ).</w:t>
      </w:r>
    </w:p>
    <w:p>
      <w:pPr>
        <w:spacing w:line="360" w:lineRule="auto" w:before="0" w:after="0"/>
        <w:ind w:firstLine="709"/>
        <w:jc w:val="both"/>
      </w:pPr>
      <w:r>
        <w:rPr>
          <w:rFonts w:ascii="Times New Roman" w:hAnsi="Times New Roman" w:eastAsia="Times New Roman"/>
          <w:sz w:val="28"/>
        </w:rPr>
        <w:t>Якщо модель має достатні дані, причинні припущення у Gᴰ можуть перевірятися емпірично. До цього моменту граф повинен трактуватися як структурна гіпотеза, а не як доведена причинна мережа. Це розмежування є особливо важливим для дисертаційної коректності: семантична близькість або співвиникнення дефектів не доводять причинності.</w:t>
      </w:r>
    </w:p>
    <w:p>
      <w:pPr>
        <w:spacing w:line="360" w:lineRule="auto" w:before="0" w:after="0"/>
        <w:ind w:firstLine="709"/>
        <w:jc w:val="both"/>
      </w:pPr>
      <w:r>
        <w:rPr>
          <w:rFonts w:ascii="Times New Roman" w:hAnsi="Times New Roman" w:eastAsia="Times New Roman"/>
          <w:sz w:val="28"/>
        </w:rPr>
        <w:t>Для кожної характеристики qⱼ сформуємо ризиковий профіль R̂ⱼ = (Riskⱼ, TopDⱼ, Uncⱼ), де Riskⱼ — агрегована оцінка, TopDⱼ — множина дефектів з найбільшим внеском, Uncⱼ — інформація про невизначеність оцінки. Повний профіль продукту:</w:t>
      </w:r>
    </w:p>
    <w:p>
      <w:pPr>
        <w:spacing w:before="60" w:after="60"/>
        <w:jc w:val="center"/>
      </w:pPr>
      <w:r>
        <w:rPr>
          <w:rFonts w:ascii="Times New Roman" w:hAnsi="Times New Roman" w:eastAsia="Times New Roman"/>
          <w:sz w:val="28"/>
        </w:rPr>
        <w:t>R̂ = (R̂₁, R̂₂, …, R̂₉).</w:t>
      </w:r>
    </w:p>
    <w:p>
      <w:pPr>
        <w:spacing w:line="360" w:lineRule="auto" w:before="0" w:after="0"/>
        <w:ind w:firstLine="709"/>
        <w:jc w:val="both"/>
      </w:pPr>
      <w:r>
        <w:rPr>
          <w:rFonts w:ascii="Times New Roman" w:hAnsi="Times New Roman" w:eastAsia="Times New Roman"/>
          <w:sz w:val="28"/>
        </w:rPr>
        <w:t>Ризиковий профіль використовується разом із Ŷ, а не замість нього. Два проєкти можуть мати однакову прогнозовану ŷⱼ, але різну структуру ризиків: в одному оцінка підтримується стабільними вимогами з незначними дефектами, в іншому — декількома критичними, ще не підтвердженими припущеннями. Тому управлінське рішення повинно враховувати щонайменше пару (Ŷ, R̂) та покриття й надійність доказової бази.</w:t>
      </w:r>
    </w:p>
    <w:p>
      <w:pPr>
        <w:spacing w:line="360" w:lineRule="auto" w:before="0" w:after="0"/>
        <w:ind w:firstLine="709"/>
        <w:jc w:val="both"/>
      </w:pPr>
      <w:r>
        <w:rPr>
          <w:rFonts w:ascii="Times New Roman" w:hAnsi="Times New Roman" w:eastAsia="Times New Roman"/>
          <w:sz w:val="28"/>
        </w:rPr>
        <w:t>Запропоновану модель дефектів, ризиків і коригувальних впливів визначимо кортежем:</w:t>
      </w:r>
    </w:p>
    <w:p>
      <w:pPr>
        <w:spacing w:before="60" w:after="60"/>
        <w:jc w:val="center"/>
      </w:pPr>
      <w:r>
        <w:rPr>
          <w:rFonts w:ascii="Times New Roman" w:hAnsi="Times New Roman" w:eastAsia="Times New Roman"/>
          <w:sz w:val="28"/>
        </w:rPr>
        <w:t>M_risk = (D, RᴰQ, Ψ, Π, Aᶜᵒʳʳ, Gᴰ, ReEval, C).</w:t>
      </w:r>
    </w:p>
    <w:p>
      <w:pPr>
        <w:spacing w:line="360" w:lineRule="auto" w:before="0" w:after="0"/>
        <w:ind w:firstLine="709"/>
        <w:jc w:val="both"/>
      </w:pPr>
      <w:r>
        <w:rPr>
          <w:rFonts w:ascii="Times New Roman" w:hAnsi="Times New Roman" w:eastAsia="Times New Roman"/>
          <w:sz w:val="28"/>
        </w:rPr>
        <w:t>Тут D — множина дефектів; RᴰQ — структура їх ризикової належності до характеристик якості; Ψ — правила агрегування локальних ризиків; Π — механізм пріоритезації; Aᶜᵒʳʳ — множина коригувальних впливів; Gᴰ — граф залежностей дефектів; ReEval — процедура повторного формування метрик, прогнозів і ризиків після зміни; C — контекст. Разом з M_process та M_quality це утворює єдину систему моделей:</w:t>
      </w:r>
    </w:p>
    <w:p>
      <w:pPr>
        <w:spacing w:before="60" w:after="60"/>
        <w:jc w:val="center"/>
      </w:pPr>
      <w:r>
        <w:rPr>
          <w:rFonts w:ascii="Times New Roman" w:hAnsi="Times New Roman" w:eastAsia="Times New Roman"/>
          <w:sz w:val="28"/>
        </w:rPr>
        <w:t>𝓜 = {M_process, M_quality, M_risk}.</w:t>
      </w:r>
    </w:p>
    <w:p>
      <w:pPr>
        <w:spacing w:before="60" w:after="60"/>
        <w:jc w:val="center"/>
      </w:pPr>
      <w:r>
        <w:rPr>
          <w:rFonts w:ascii="Times New Roman" w:hAnsi="Times New Roman" w:eastAsia="Times New Roman"/>
          <w:sz w:val="28"/>
        </w:rPr>
        <w:t>𝒜ᵛ → M_process → M_quality → Ŷᵛ → M_risk → R̂ᵛ → Aᶜᵒʳʳ → 𝒜ᵛ⁺¹ → ReEval → (Ŷᵛ⁺¹, R̂ᵛ⁺¹).</w:t>
      </w:r>
    </w:p>
    <w:p>
      <w:pPr>
        <w:spacing w:line="360" w:lineRule="auto" w:before="0" w:after="0"/>
        <w:ind w:firstLine="709"/>
        <w:jc w:val="both"/>
      </w:pPr>
      <w:r>
        <w:rPr>
          <w:rFonts w:ascii="Times New Roman" w:hAnsi="Times New Roman" w:eastAsia="Times New Roman"/>
          <w:sz w:val="28"/>
        </w:rPr>
        <w:t>Взаємодія трьох моделей розподіляє відповідальність між рівнями. M_process визначає, коли і на якій версії виконувати оцінювання; M_quality формує характеристико-специфічний профіль; M_risk пояснює, які дефекти потребують втручання і як організувати коригування. Таке розділення запобігає змішуванню прогнозної функції з управлінськими правилами ризику та дозволяє експериментально перевіряти кожний рівень окремо.</w:t>
      </w:r>
    </w:p>
    <w:p>
      <w:pPr>
        <w:spacing w:line="360" w:lineRule="auto" w:before="0" w:after="0"/>
        <w:ind w:firstLine="709"/>
        <w:jc w:val="both"/>
      </w:pPr>
      <w:r>
        <w:rPr>
          <w:rFonts w:ascii="Times New Roman" w:hAnsi="Times New Roman" w:eastAsia="Times New Roman"/>
          <w:sz w:val="28"/>
        </w:rPr>
        <w:t>Основними параметрами, які залишаються для емпіричного визначення, є значення ρᵢⱼ, pᵢⱼ, Iᵢⱼ, форма Ψⱼ, параметри пріоритезації та фактичний ефект коригувальних дій. Теоретична частина визначає їх місце і семантику, але не підмінює експеримент довільними числами. Саме це формує безпосередню постановку задачі Розділу 5: реалізувати модулі виявлення дефектів, розрахунку метрик і ризиків, калібрувати параметри на даних та перевірити, чи покращує запропонована пріоритезація точність раннього управління якістю.</w:t>
      </w:r>
    </w:p>
    <w:p>
      <w:pPr>
        <w:spacing w:line="360" w:lineRule="auto" w:before="0" w:after="0"/>
        <w:ind w:firstLine="709"/>
        <w:jc w:val="both"/>
      </w:pPr>
      <w:r>
        <w:rPr>
          <w:rFonts w:ascii="Times New Roman" w:hAnsi="Times New Roman" w:eastAsia="Times New Roman"/>
          <w:sz w:val="28"/>
        </w:rPr>
        <w:t>Таким чином, у підрозділі побудовано модель дефектів, ризиків та коригувальних впливів, яка переводить виявлені порушення якості вимог у характеристико-специфічний ризиковий профіль, підтримує контекстну пріоритезацію, визначає структуру коригувальної дії та запускає повторне оцінювання після зміни артефактів. Разом з процесною моделлю 4.1 і моделлю якості 4.2 вона завершує теоретичну систему методів і моделей, необхідну для переходу до програмної реалізації та експериментальної перевірки.</w:t>
      </w:r>
    </w:p>
    <w:p>
      <w:pPr>
        <w:pStyle w:val="Heading1"/>
      </w:pPr>
      <w:r>
        <w:t>Список джерел до підрозділу 4.3</w:t>
      </w:r>
    </w:p>
    <w:p>
      <w:r>
        <w:t>4. ISO/IEC 25010:2023. Systems and software engineering — Systems and software Quality Requirements and Evaluation (SQuaRE) — Product quality model. Geneva: ISO, 2023.</w:t>
      </w:r>
    </w:p>
    <w:p>
      <w:r>
        <w:t>11. ISO/IEC 25040:2024. Systems and software engineering — Systems and software Quality Requirements and Evaluation (SQuaRE) — Quality evaluation framework. Geneva: ISO, 2024.</w:t>
      </w:r>
    </w:p>
    <w:p>
      <w:r>
        <w:t>15. ISO/IEC/IEEE 29148:2018. Systems and software engineering — Life cycle processes — Requirements engineering. Geneva: ISO, 2018.</w:t>
      </w:r>
    </w:p>
    <w:p>
      <w:r>
        <w:t>43. ISO 31000:2018. Risk management — Guidelines. Geneva: ISO, 2018.</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