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4. Спецификация API, структуры данных, OpenAPI и критерии приёмки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FR/NFR, требования к данным, спецификация API, схемы структур данных, проверка типов и форматов, канонические схемы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Сформировать проверяемую спецификацию контрактов данных публичного и внутреннего API, разработать схемы валидации запросов и ответов.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ID24_API-24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E02-04 · Каноническая схема LLM-запроса и ответа (Unified LLM Schema)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ID24_API-25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E02-05 · Спецификация публичного API (OpenAPI 3.1)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ID24_API-26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E02-06 · Модель данных PostgreSQL (ERD) и стратегия миграций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ID24_API-60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E04-14 · Reasoning: единый параметр и учёт reasoning-токенов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ID24_API-62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E04-16 · Prompt caching: cache_control, учёт cached и cache write токенов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ID24_API-93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E07-01 · Double-entry ledger в PostgreSQL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Спроектировал и утвердил каноническую спецификацию Unified LLM Schema (schema/llm-request.schema.json и schema/llm-response.schema.json). Реализовал поддержку передовых возможностей 2026 года: единый параметр reasoning {effort: minimal|low|medium|high, max_tokens, exclude} (ID24_API-60) и директиву prompt caching cache_control: {type: 'ephemeral'} с алгоритмом sticky routing (ID24_API-62).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Разработал полную спецификацию публичного HTTP API шлюза в стандарте OpenAPI 3.1 (ID24_API-25), охватывающую /v1/chat/completions, /v1/models, /v1/responses. Спроектировал реляционную модель базы данных PostgreSQL (ERD) с версионированием миграций golang-migrate (ID24_API-26).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Спроектировал реляционную схему бухгалтерского учёта с двойной записью (ID24_API-93): таблицы accounts, ledger_entries, transactions, currency_rates с проверкой инварианта сбалансированности проводок.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Провёл ревью контрактов данных на соответствие требованиям продуктовых сценариев и критериям совместимости с OpenAI Python/Node.js SDK.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Канонические схемы: schema/llm-request.schema.json и schema/llm-response.schema.json.</w:t>
      </w:r>
    </w:p>
    <w:p>
      <w:pPr>
        <w:spacing w:after="40" w:before="40"/>
      </w:pPr>
      <w:r>
        <w:t xml:space="preserve">• Спецификация OpenAPI 3.1 публичного шлюза: openapi.yaml.</w:t>
      </w:r>
    </w:p>
    <w:p>
      <w:pPr>
        <w:spacing w:after="40" w:before="40"/>
      </w:pPr>
      <w:r>
        <w:t xml:space="preserve">• Схема базы данных PostgreSQL: ERD-диаграмма и SQL-миграции.</w:t>
      </w:r>
    </w:p>
    <w:p>
      <w:pPr>
        <w:spacing w:after="40" w:before="40"/>
      </w:pPr>
      <w:r>
        <w:t xml:space="preserve">• Модули Go: packages/contracts/reasoning/ и packages/contracts/caching/.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4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2026-10-29T13:48:04.005Z</dcterms:created>
  <dcterms:modified xsi:type="dcterms:W3CDTF">2026-10-29T13:48:04.005Z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