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t xml:space="preserve">ОТЧЁТ ПО СКВОЗНОМУ ПРОЕКТУ «NEUROGATEWAY»</w:t>
      </w:r>
      <w:r>
        <w:rPr>
          <w:b/>
          <w:bCs/>
          <w:color w:val="1F497D"/>
          <w:sz w:val="28"/>
          <w:szCs w:val="28"/>
        </w:rPr>
        <w:t xml:space="preserve">ОТЧЁТ ПО СКВОЗНОМУ ПРОЕКТУ «NEUROGATEWAY»</w:t>
      </w:r>
    </w:p>
    <w:p>
      <w:pPr>
        <w:spacing w:after="200"/>
        <w:jc w:val="center"/>
      </w:pPr>
      <w:r>
        <w:t xml:space="preserve">Дисциплина: Программная инженерия · Учебная группа ИД24 · 2026/2027 уч. год</w:t>
      </w:r>
      <w:r>
        <w:rPr>
          <w:i/>
          <w:iCs/>
          <w:color w:val="595959"/>
          <w:sz w:val="20"/>
          <w:szCs w:val="20"/>
        </w:rPr>
        <w:t xml:space="preserve">Дисциплина: Программная инженерия · Учебная группа ИД24 · 2026/2027 уч. год</w:t>
      </w:r>
    </w:p>
    <w:p>
      <w:pPr>
        <w:pStyle w:val="Heading1"/>
        <w:spacing w:after="120" w:before="240"/>
      </w:pPr>
      <w:r>
        <w:t xml:space="preserve">Семинар 5. Реализация ядра, интеграция провайдеров и SDK адаптеров</w:t>
      </w:r>
    </w:p>
    <w:p>
      <w:pPr>
        <w:spacing w:after="60" w:before="60"/>
      </w:pPr>
      <w:r>
        <w:rPr>
          <w:b/>
          <w:bCs/>
        </w:rPr>
        <w:t xml:space="preserve">Тема семинара в Знаниях Сферы:</w:t>
      </w:r>
      <w:r>
        <w:t xml:space="preserve"> Управление разработкой ПО. Проектное управление. Реализация ядра, паттерны интеграции (Adapter, Registry), боевые адаптеры провайдеров, документация</w:t>
      </w:r>
    </w:p>
    <w:p>
      <w:pPr>
        <w:spacing w:after="60" w:before="60"/>
      </w:pPr>
      <w:r>
        <w:rPr>
          <w:b/>
          <w:bCs/>
        </w:rPr>
        <w:t xml:space="preserve">Цель работы:</w:t>
      </w:r>
      <w:r>
        <w:t xml:space="preserve"> Оформить проект как управляемый программный комплекс, реализовать ядро шлюза и слой адаптеров ко всем целевым LLM-провайдерам.</w:t>
      </w:r>
    </w:p>
    <w:p>
      <w:pPr>
        <w:pStyle w:val="Heading2"/>
        <w:spacing w:after="80" w:before="180"/>
      </w:pPr>
      <w:r>
        <w:t xml:space="preserve">1. Паспорт проектной команды и репозитория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8"/>
        <w:gridCol w:w="6318"/>
      </w:tblGrid>
      <w:tr>
        <w:tc>
          <w:tcPr>
            <w:tcW w:type="pct" w:w="1500"/>
            <w:shd w:fill="E0E8F5" w:val="clear"/>
          </w:tcPr>
          <w:p>
            <w:r>
              <w:rPr>
                <w:b/>
                <w:bCs/>
              </w:rPr>
              <w:t xml:space="preserve">Параметр</w:t>
            </w:r>
          </w:p>
        </w:tc>
        <w:tc>
          <w:tcPr>
            <w:tcW w:type="pct" w:w="3500"/>
            <w:shd w:fill="E0E8F5" w:val="clear"/>
          </w:tcPr>
          <w:p>
            <w:r>
              <w:rPr>
                <w:b/>
                <w:bCs/>
              </w:rPr>
              <w:t xml:space="preserve">Значение</w:t>
            </w:r>
          </w:p>
        </w:tc>
      </w:tr>
      <w:tr>
        <w:tc>
          <w:tcPr>
            <w:tcW w:type="pct" w:w="1500"/>
          </w:tcPr>
          <w:p>
            <w:r>
              <w:rPr>
                <w:b/>
                <w:bCs/>
              </w:rPr>
              <w:t xml:space="preserve">Учебная группа</w:t>
            </w:r>
          </w:p>
        </w:tc>
        <w:tc>
          <w:tcPr>
            <w:tcW w:type="pct" w:w="3500"/>
          </w:tcPr>
          <w:p>
            <w:r>
              <w:rPr>
                <w:b w:val="false"/>
                <w:bCs w:val="false"/>
              </w:rPr>
              <w:t xml:space="preserve">ИД24 (Программная инженерия, 1-й семестр)</w:t>
            </w:r>
          </w:p>
        </w:tc>
      </w:tr>
      <w:tr>
        <w:tc>
          <w:tcPr>
            <w:tcW w:type="pct" w:w="1500"/>
          </w:tcPr>
          <w:p>
            <w:r>
              <w:rPr>
                <w:b/>
                <w:bCs/>
              </w:rPr>
              <w:t xml:space="preserve">Проект</w:t>
            </w:r>
          </w:p>
        </w:tc>
        <w:tc>
          <w:tcPr>
            <w:tcW w:type="pct" w:w="3500"/>
          </w:tcPr>
          <w:p>
            <w:r>
              <w:rPr>
                <w:b w:val="false"/>
                <w:bCs w:val="false"/>
              </w:rPr>
              <w:t xml:space="preserve">NeuroGateway (ID24_API / api-aggregator) — унифицированный LLM-шлюз</w:t>
            </w:r>
          </w:p>
        </w:tc>
      </w:tr>
      <w:tr>
        <w:tc>
          <w:tcPr>
            <w:tcW w:type="pct" w:w="1500"/>
          </w:tcPr>
          <w:p>
            <w:r>
              <w:rPr>
                <w:b/>
                <w:bCs/>
              </w:rPr>
              <w:t xml:space="preserve">Team Lead / Product</w:t>
            </w:r>
          </w:p>
        </w:tc>
        <w:tc>
          <w:tcPr>
            <w:tcW w:type="pct" w:w="3500"/>
          </w:tcPr>
          <w:p>
            <w:r>
              <w:rPr>
                <w:b w:val="false"/>
                <w:bCs w:val="false"/>
              </w:rPr>
              <w:t xml:space="preserve">Улитин Максим (16656@saas.sferaplatform.ru)</w:t>
            </w:r>
          </w:p>
        </w:tc>
      </w:tr>
      <w:tr>
        <w:tc>
          <w:tcPr>
            <w:tcW w:type="pct" w:w="1500"/>
          </w:tcPr>
          <w:p>
            <w:r>
              <w:rPr>
                <w:b/>
                <w:bCs/>
              </w:rPr>
              <w:t xml:space="preserve">Lead Architect / Core Gateway</w:t>
            </w:r>
          </w:p>
        </w:tc>
        <w:tc>
          <w:tcPr>
            <w:tcW w:type="pct" w:w="3500"/>
          </w:tcPr>
          <w:p>
            <w:r>
              <w:rPr>
                <w:b w:val="false"/>
                <w:bCs w:val="false"/>
              </w:rPr>
              <w:t xml:space="preserve">Ерофеев Илья (16625@saas.sferaplatform.ru)</w:t>
            </w:r>
          </w:p>
        </w:tc>
      </w:tr>
      <w:tr>
        <w:tc>
          <w:tcPr>
            <w:tcW w:type="pct" w:w="1500"/>
          </w:tcPr>
          <w:p>
            <w:r>
              <w:rPr>
                <w:b/>
                <w:bCs/>
              </w:rPr>
              <w:t xml:space="preserve">Lead Integrations / Contracts</w:t>
            </w:r>
          </w:p>
        </w:tc>
        <w:tc>
          <w:tcPr>
            <w:tcW w:type="pct" w:w="3500"/>
          </w:tcPr>
          <w:p>
            <w:r>
              <w:rPr>
                <w:b w:val="false"/>
                <w:bCs w:val="false"/>
              </w:rPr>
              <w:t xml:space="preserve">Маркус Филипп (16650@saas.sferaplatform.ru)</w:t>
            </w:r>
          </w:p>
        </w:tc>
      </w:tr>
      <w:tr>
        <w:tc>
          <w:tcPr>
            <w:tcW w:type="pct" w:w="1500"/>
          </w:tcPr>
          <w:p>
            <w:r>
              <w:rPr>
                <w:b/>
                <w:bCs/>
              </w:rPr>
              <w:t xml:space="preserve">Financial &amp; Ledger Engineer</w:t>
            </w:r>
          </w:p>
        </w:tc>
        <w:tc>
          <w:tcPr>
            <w:tcW w:type="pct" w:w="3500"/>
          </w:tcPr>
          <w:p>
            <w:r>
              <w:rPr>
                <w:b w:val="false"/>
                <w:bCs w:val="false"/>
              </w:rPr>
              <w:t xml:space="preserve">Деревцов Андрей (16582@saas.sferaplatform.ru)</w:t>
            </w:r>
          </w:p>
        </w:tc>
      </w:tr>
      <w:tr>
        <w:tc>
          <w:tcPr>
            <w:tcW w:type="pct" w:w="1500"/>
          </w:tcPr>
          <w:p>
            <w:r>
              <w:rPr>
                <w:b/>
                <w:bCs/>
              </w:rPr>
              <w:t xml:space="preserve">Git-репозиторий</w:t>
            </w:r>
          </w:p>
        </w:tc>
        <w:tc>
          <w:tcPr>
            <w:tcW w:type="pct" w:w="3500"/>
          </w:tcPr>
          <w:p>
            <w:r>
              <w:rPr>
                <w:b w:val="false"/>
                <w:bCs w:val="false"/>
              </w:rPr>
              <w:t xml:space="preserve">https://github.com/rMononoke/API-agrigator</w:t>
            </w:r>
          </w:p>
        </w:tc>
      </w:tr>
    </w:tbl>
    <w:p>
      <w:pPr>
        <w:spacing w:after="120"/>
      </w:pPr>
    </w:p>
    <w:p>
      <w:pPr>
        <w:pStyle w:val="Heading2"/>
        <w:spacing w:after="80" w:before="180"/>
      </w:pPr>
      <w:r>
        <w:t xml:space="preserve">2. Выполненные задачи команды в трекере «Сфера»</w:t>
      </w:r>
    </w:p>
    <w:p>
      <w:pPr>
        <w:spacing w:after="60" w:before="60"/>
      </w:pPr>
      <w:r>
        <w:t xml:space="preserve">В рамках данного семинара командой были взяты в работу, реализованы и переведены в статус «Выполнено» следующие задачи проекта ID24_API: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5"/>
        <w:gridCol w:w="2257"/>
        <w:gridCol w:w="3791"/>
        <w:gridCol w:w="1354"/>
      </w:tblGrid>
      <w:tr>
        <w:tc>
          <w:tcPr>
            <w:tcW w:type="pct" w:w="900"/>
            <w:shd w:fill="DCE6F1" w:val="clear"/>
          </w:tcPr>
          <w:p>
            <w:r>
              <w:rPr>
                <w:b/>
                <w:bCs/>
              </w:rPr>
              <w:t xml:space="preserve">Код задачи</w:t>
            </w:r>
          </w:p>
        </w:tc>
        <w:tc>
          <w:tcPr>
            <w:tcW w:type="pct" w:w="1250"/>
            <w:shd w:fill="DCE6F1" w:val="clear"/>
          </w:tcPr>
          <w:p>
            <w:r>
              <w:rPr>
                <w:b/>
                <w:bCs/>
              </w:rPr>
              <w:t xml:space="preserve">Ответственный</w:t>
            </w:r>
          </w:p>
        </w:tc>
        <w:tc>
          <w:tcPr>
            <w:tcW w:type="pct" w:w="2100"/>
            <w:shd w:fill="DCE6F1" w:val="clear"/>
          </w:tcPr>
          <w:p>
            <w:r>
              <w:rPr>
                <w:b/>
                <w:bCs/>
              </w:rPr>
              <w:t xml:space="preserve">Название задачи</w:t>
            </w:r>
          </w:p>
        </w:tc>
        <w:tc>
          <w:tcPr>
            <w:tcW w:type="pct" w:w="750"/>
            <w:shd w:fill="DCE6F1" w:val="clear"/>
          </w:tcPr>
          <w:p>
            <w:r>
              <w:rPr>
                <w:b/>
                <w:bCs/>
              </w:rPr>
              <w:t xml:space="preserve">Статус в Сфере</w:t>
            </w:r>
          </w:p>
        </w:tc>
      </w:tr>
      <w:tr>
        <w:tc>
          <w:tcPr>
            <w:tcW w:type="pct" w:w="900"/>
          </w:tcPr>
          <w:p>
            <w:r>
              <w:rPr>
                <w:b/>
                <w:bCs/>
              </w:rPr>
              <w:t xml:space="preserve">ID24_API-68</w:t>
            </w:r>
          </w:p>
        </w:tc>
        <w:tc>
          <w:tcPr>
            <w:tcW w:type="pct" w:w="1250"/>
          </w:tcPr>
          <w:p>
            <w:r>
              <w:rPr>
                <w:b w:val="false"/>
                <w:bCs w:val="false"/>
              </w:rPr>
              <w:t xml:space="preserve">Маркус Филипп</w:t>
            </w:r>
          </w:p>
        </w:tc>
        <w:tc>
          <w:tcPr>
            <w:tcW w:type="pct" w:w="2100"/>
          </w:tcPr>
          <w:p>
            <w:r>
              <w:rPr>
                <w:b w:val="false"/>
                <w:bCs w:val="false"/>
              </w:rPr>
              <w:t xml:space="preserve">E05-01 · SDK адаптеров провайдеров: интерфейс, регистрация, capabilities</w:t>
            </w:r>
          </w:p>
        </w:tc>
        <w:tc>
          <w:tcPr>
            <w:tcW w:type="pct" w:w="750"/>
          </w:tcPr>
          <w:p>
            <w:r>
              <w:rPr>
                <w:b w:val="false"/>
                <w:bCs w:val="false"/>
              </w:rPr>
              <w:t xml:space="preserve">Выполнено</w:t>
            </w:r>
          </w:p>
        </w:tc>
      </w:tr>
      <w:tr>
        <w:tc>
          <w:tcPr>
            <w:tcW w:type="pct" w:w="900"/>
          </w:tcPr>
          <w:p>
            <w:r>
              <w:rPr>
                <w:b/>
                <w:bCs/>
              </w:rPr>
              <w:t xml:space="preserve">ID24_API-69</w:t>
            </w:r>
          </w:p>
        </w:tc>
        <w:tc>
          <w:tcPr>
            <w:tcW w:type="pct" w:w="1250"/>
          </w:tcPr>
          <w:p>
            <w:r>
              <w:rPr>
                <w:b w:val="false"/>
                <w:bCs w:val="false"/>
              </w:rPr>
              <w:t xml:space="preserve">Маркус Филипп</w:t>
            </w:r>
          </w:p>
        </w:tc>
        <w:tc>
          <w:tcPr>
            <w:tcW w:type="pct" w:w="2100"/>
          </w:tcPr>
          <w:p>
            <w:r>
              <w:rPr>
                <w:b w:val="false"/>
                <w:bCs w:val="false"/>
              </w:rPr>
              <w:t xml:space="preserve">E05-02 · Адаптер OpenAI: Chat Completions, Responses, vision, tools, reasoning</w:t>
            </w:r>
          </w:p>
        </w:tc>
        <w:tc>
          <w:tcPr>
            <w:tcW w:type="pct" w:w="750"/>
          </w:tcPr>
          <w:p>
            <w:r>
              <w:rPr>
                <w:b w:val="false"/>
                <w:bCs w:val="false"/>
              </w:rPr>
              <w:t xml:space="preserve">Выполнено</w:t>
            </w:r>
          </w:p>
        </w:tc>
      </w:tr>
      <w:tr>
        <w:tc>
          <w:tcPr>
            <w:tcW w:type="pct" w:w="900"/>
          </w:tcPr>
          <w:p>
            <w:r>
              <w:rPr>
                <w:b/>
                <w:bCs/>
              </w:rPr>
              <w:t xml:space="preserve">ID24_API-70</w:t>
            </w:r>
          </w:p>
        </w:tc>
        <w:tc>
          <w:tcPr>
            <w:tcW w:type="pct" w:w="1250"/>
          </w:tcPr>
          <w:p>
            <w:r>
              <w:rPr>
                <w:b w:val="false"/>
                <w:bCs w:val="false"/>
              </w:rPr>
              <w:t xml:space="preserve">Маркус Филипп</w:t>
            </w:r>
          </w:p>
        </w:tc>
        <w:tc>
          <w:tcPr>
            <w:tcW w:type="pct" w:w="2100"/>
          </w:tcPr>
          <w:p>
            <w:r>
              <w:rPr>
                <w:b w:val="false"/>
                <w:bCs w:val="false"/>
              </w:rPr>
              <w:t xml:space="preserve">E05-03 · Адаптер Anthropic: Messages API, thinking, cache_control, tools</w:t>
            </w:r>
          </w:p>
        </w:tc>
        <w:tc>
          <w:tcPr>
            <w:tcW w:type="pct" w:w="750"/>
          </w:tcPr>
          <w:p>
            <w:r>
              <w:rPr>
                <w:b w:val="false"/>
                <w:bCs w:val="false"/>
              </w:rPr>
              <w:t xml:space="preserve">Выполнено</w:t>
            </w:r>
          </w:p>
        </w:tc>
      </w:tr>
      <w:tr>
        <w:tc>
          <w:tcPr>
            <w:tcW w:type="pct" w:w="900"/>
          </w:tcPr>
          <w:p>
            <w:r>
              <w:rPr>
                <w:b/>
                <w:bCs/>
              </w:rPr>
              <w:t xml:space="preserve">ID24_API-74</w:t>
            </w:r>
          </w:p>
        </w:tc>
        <w:tc>
          <w:tcPr>
            <w:tcW w:type="pct" w:w="1250"/>
          </w:tcPr>
          <w:p>
            <w:r>
              <w:rPr>
                <w:b w:val="false"/>
                <w:bCs w:val="false"/>
              </w:rPr>
              <w:t xml:space="preserve">Маркус Филипп</w:t>
            </w:r>
          </w:p>
        </w:tc>
        <w:tc>
          <w:tcPr>
            <w:tcW w:type="pct" w:w="2100"/>
          </w:tcPr>
          <w:p>
            <w:r>
              <w:rPr>
                <w:b w:val="false"/>
                <w:bCs w:val="false"/>
              </w:rPr>
              <w:t xml:space="preserve">E05-07 · Generic OpenAI-compatible адаптер: подключение провайдеров конфигурацией</w:t>
            </w:r>
          </w:p>
        </w:tc>
        <w:tc>
          <w:tcPr>
            <w:tcW w:type="pct" w:w="750"/>
          </w:tcPr>
          <w:p>
            <w:r>
              <w:rPr>
                <w:b w:val="false"/>
                <w:bCs w:val="false"/>
              </w:rPr>
              <w:t xml:space="preserve">Выполнено</w:t>
            </w:r>
          </w:p>
        </w:tc>
      </w:tr>
      <w:tr>
        <w:tc>
          <w:tcPr>
            <w:tcW w:type="pct" w:w="900"/>
          </w:tcPr>
          <w:p>
            <w:r>
              <w:rPr>
                <w:b/>
                <w:bCs/>
              </w:rPr>
              <w:t xml:space="preserve">ID24_API-93</w:t>
            </w:r>
          </w:p>
        </w:tc>
        <w:tc>
          <w:tcPr>
            <w:tcW w:type="pct" w:w="1250"/>
          </w:tcPr>
          <w:p>
            <w:r>
              <w:rPr>
                <w:b w:val="false"/>
                <w:bCs w:val="false"/>
              </w:rPr>
              <w:t xml:space="preserve">Деревцов Андрей</w:t>
            </w:r>
          </w:p>
        </w:tc>
        <w:tc>
          <w:tcPr>
            <w:tcW w:type="pct" w:w="2100"/>
          </w:tcPr>
          <w:p>
            <w:r>
              <w:rPr>
                <w:b w:val="false"/>
                <w:bCs w:val="false"/>
              </w:rPr>
              <w:t xml:space="preserve">E07-01 · Double-entry ledger в PostgreSQL</w:t>
            </w:r>
          </w:p>
        </w:tc>
        <w:tc>
          <w:tcPr>
            <w:tcW w:type="pct" w:w="750"/>
          </w:tcPr>
          <w:p>
            <w:r>
              <w:rPr>
                <w:b w:val="false"/>
                <w:bCs w:val="false"/>
              </w:rPr>
              <w:t xml:space="preserve">Выполнено</w:t>
            </w:r>
          </w:p>
        </w:tc>
      </w:tr>
      <w:tr>
        <w:tc>
          <w:tcPr>
            <w:tcW w:type="pct" w:w="900"/>
          </w:tcPr>
          <w:p>
            <w:r>
              <w:rPr>
                <w:b/>
                <w:bCs/>
              </w:rPr>
              <w:t xml:space="preserve">ID24_API-95</w:t>
            </w:r>
          </w:p>
        </w:tc>
        <w:tc>
          <w:tcPr>
            <w:tcW w:type="pct" w:w="1250"/>
          </w:tcPr>
          <w:p>
            <w:r>
              <w:rPr>
                <w:b w:val="false"/>
                <w:bCs w:val="false"/>
              </w:rPr>
              <w:t xml:space="preserve">Деревцов Андрей</w:t>
            </w:r>
          </w:p>
        </w:tc>
        <w:tc>
          <w:tcPr>
            <w:tcW w:type="pct" w:w="2100"/>
          </w:tcPr>
          <w:p>
            <w:r>
              <w:rPr>
                <w:b w:val="false"/>
                <w:bCs w:val="false"/>
              </w:rPr>
              <w:t xml:space="preserve">E07-03 · Предавторизация баланса (hold) перед запросом</w:t>
            </w:r>
          </w:p>
        </w:tc>
        <w:tc>
          <w:tcPr>
            <w:tcW w:type="pct" w:w="750"/>
          </w:tcPr>
          <w:p>
            <w:r>
              <w:rPr>
                <w:b w:val="false"/>
                <w:bCs w:val="false"/>
              </w:rPr>
              <w:t xml:space="preserve">Выполнено</w:t>
            </w:r>
          </w:p>
        </w:tc>
      </w:tr>
      <w:tr>
        <w:tc>
          <w:tcPr>
            <w:tcW w:type="pct" w:w="900"/>
          </w:tcPr>
          <w:p>
            <w:r>
              <w:rPr>
                <w:b/>
                <w:bCs/>
              </w:rPr>
              <w:t xml:space="preserve">ID24_API-97</w:t>
            </w:r>
          </w:p>
        </w:tc>
        <w:tc>
          <w:tcPr>
            <w:tcW w:type="pct" w:w="1250"/>
          </w:tcPr>
          <w:p>
            <w:r>
              <w:rPr>
                <w:b w:val="false"/>
                <w:bCs w:val="false"/>
              </w:rPr>
              <w:t xml:space="preserve">Деревцов Андрей</w:t>
            </w:r>
          </w:p>
        </w:tc>
        <w:tc>
          <w:tcPr>
            <w:tcW w:type="pct" w:w="2100"/>
          </w:tcPr>
          <w:p>
            <w:r>
              <w:rPr>
                <w:b w:val="false"/>
                <w:bCs w:val="false"/>
              </w:rPr>
              <w:t xml:space="preserve">E07-05 · Курсы валют: импорт курса ЦБ РФ, спред, фиксация в проводке</w:t>
            </w:r>
          </w:p>
        </w:tc>
        <w:tc>
          <w:tcPr>
            <w:tcW w:type="pct" w:w="750"/>
          </w:tcPr>
          <w:p>
            <w:r>
              <w:rPr>
                <w:b w:val="false"/>
                <w:bCs w:val="false"/>
              </w:rPr>
              <w:t xml:space="preserve">Выполнено</w:t>
            </w:r>
          </w:p>
        </w:tc>
      </w:tr>
      <w:tr>
        <w:tc>
          <w:tcPr>
            <w:tcW w:type="pct" w:w="900"/>
          </w:tcPr>
          <w:p>
            <w:r>
              <w:rPr>
                <w:b/>
                <w:bCs/>
              </w:rPr>
              <w:t xml:space="preserve">ID24_API-98</w:t>
            </w:r>
          </w:p>
        </w:tc>
        <w:tc>
          <w:tcPr>
            <w:tcW w:type="pct" w:w="1250"/>
          </w:tcPr>
          <w:p>
            <w:r>
              <w:rPr>
                <w:b w:val="false"/>
                <w:bCs w:val="false"/>
              </w:rPr>
              <w:t xml:space="preserve">Деревцов Андрей</w:t>
            </w:r>
          </w:p>
        </w:tc>
        <w:tc>
          <w:tcPr>
            <w:tcW w:type="pct" w:w="2100"/>
          </w:tcPr>
          <w:p>
            <w:r>
              <w:rPr>
                <w:b w:val="false"/>
                <w:bCs w:val="false"/>
              </w:rPr>
              <w:t xml:space="preserve">E07-06 · Пополнение баланса — заглушка для MVP</w:t>
            </w:r>
          </w:p>
        </w:tc>
        <w:tc>
          <w:tcPr>
            <w:tcW w:type="pct" w:w="750"/>
          </w:tcPr>
          <w:p>
            <w:r>
              <w:rPr>
                <w:b w:val="false"/>
                <w:bCs w:val="false"/>
              </w:rPr>
              <w:t xml:space="preserve">Выполнено</w:t>
            </w:r>
          </w:p>
        </w:tc>
      </w:tr>
      <w:tr>
        <w:tc>
          <w:tcPr>
            <w:tcW w:type="pct" w:w="900"/>
          </w:tcPr>
          <w:p>
            <w:r>
              <w:rPr>
                <w:b/>
                <w:bCs/>
              </w:rPr>
              <w:t xml:space="preserve">ID24_API-156</w:t>
            </w:r>
          </w:p>
        </w:tc>
        <w:tc>
          <w:tcPr>
            <w:tcW w:type="pct" w:w="1250"/>
          </w:tcPr>
          <w:p>
            <w:r>
              <w:rPr>
                <w:b w:val="false"/>
                <w:bCs w:val="false"/>
              </w:rPr>
              <w:t xml:space="preserve">Маркус Филипп</w:t>
            </w:r>
          </w:p>
        </w:tc>
        <w:tc>
          <w:tcPr>
            <w:tcW w:type="pct" w:w="2100"/>
          </w:tcPr>
          <w:p>
            <w:r>
              <w:rPr>
                <w:b w:val="false"/>
                <w:bCs w:val="false"/>
              </w:rPr>
              <w:t xml:space="preserve">E12-05 · Гайды по интеграциям с популярными инструментами</w:t>
            </w:r>
          </w:p>
        </w:tc>
        <w:tc>
          <w:tcPr>
            <w:tcW w:type="pct" w:w="750"/>
          </w:tcPr>
          <w:p>
            <w:r>
              <w:rPr>
                <w:b w:val="false"/>
                <w:bCs w:val="false"/>
              </w:rPr>
              <w:t xml:space="preserve">Выполнено</w:t>
            </w:r>
          </w:p>
        </w:tc>
      </w:tr>
    </w:tbl>
    <w:p>
      <w:pPr>
        <w:spacing w:after="120"/>
      </w:pPr>
    </w:p>
    <w:p>
      <w:pPr>
        <w:pStyle w:val="Heading2"/>
        <w:spacing w:after="80" w:before="180"/>
      </w:pPr>
      <w:r>
        <w:t xml:space="preserve">3. Персональный вклад участников команды</w:t>
      </w:r>
    </w:p>
    <w:p>
      <w:pPr>
        <w:spacing w:after="40" w:before="40"/>
      </w:pPr>
      <w:r>
        <w:rPr>
          <w:b/>
          <w:bCs/>
        </w:rPr>
        <w:t xml:space="preserve">• Маркус Филипп (Lead Integrations):</w:t>
      </w:r>
      <w:r>
        <w:t xml:space="preserve"> Создал фундаментальный SDK адаптеров: интерфейс ProviderAdapter и реестр Registry (packages/contracts/adapter/adapter.go). Разработал адаптер OpenAI с поддержкой Azure и парсингом лимитов (internal/adapters/openai/). Разработал адаптер Anthropic Messages API с нормализацией системных промптов (internal/adapters/anthropic/). Реализовал Generic-адаптер, декларативно подключающий 8 провайдеров через YAML (Mistral, Groq, xAI, Together, Fireworks, DeepSeek, Qwen, vLLM). Написал исчерпывающий гайд по интеграции для 16 инструментов (docs/guides/integrations.md).</w:t>
      </w:r>
    </w:p>
    <w:p>
      <w:pPr>
        <w:spacing w:after="40" w:before="40"/>
      </w:pPr>
      <w:r>
        <w:rPr>
          <w:b/>
          <w:bCs/>
        </w:rPr>
        <w:t xml:space="preserve">• Ерофеев Илья (Lead Architect):</w:t>
      </w:r>
      <w:r>
        <w:t xml:space="preserve"> Разработал ядро обратного проксирования (Reverse Proxy) и DevServer, механизм динамической диспетчеризации запросов к зарегистрированным адаптерам и оркестрацию горутин при потоковом SSE-стриминге.</w:t>
      </w:r>
    </w:p>
    <w:p>
      <w:pPr>
        <w:spacing w:after="40" w:before="40"/>
      </w:pPr>
      <w:r>
        <w:rPr>
          <w:b/>
          <w:bCs/>
        </w:rPr>
        <w:t xml:space="preserve">• Деревцов Андрей (Financial &amp; Data):</w:t>
      </w:r>
      <w:r>
        <w:t xml:space="preserve"> Реализовал финансовый движок биллинга: механизм атомарного холдирования средств (ID24_API-95), интеграцию с сервисом котировок валют ЦБ РФ со спредом 3% (ID24_API-97) и подтверждение списания после завершения генерации.</w:t>
      </w:r>
    </w:p>
    <w:p>
      <w:pPr>
        <w:spacing w:after="40" w:before="40"/>
      </w:pPr>
      <w:r>
        <w:rPr>
          <w:b/>
          <w:bCs/>
        </w:rPr>
        <w:t xml:space="preserve">• Улитин Максим (Team Lead):</w:t>
      </w:r>
      <w:r>
        <w:t xml:space="preserve"> Провёл интеграционное тестирование всего вертикального среза Release 0.5 на соответствие срокам и критериям фазы MVP.</w:t>
      </w:r>
    </w:p>
    <w:p>
      <w:pPr>
        <w:spacing w:after="120"/>
      </w:pPr>
    </w:p>
    <w:p>
      <w:pPr>
        <w:pStyle w:val="Heading2"/>
        <w:spacing w:after="80" w:before="180"/>
      </w:pPr>
      <w:r>
        <w:t xml:space="preserve">4. Реализованные инженерные артефакты и результаты</w:t>
      </w:r>
    </w:p>
    <w:p>
      <w:pPr>
        <w:spacing w:after="40" w:before="40"/>
      </w:pPr>
      <w:r>
        <w:t xml:space="preserve">• Adapter SDK и реестр: packages/contracts/adapter/adapter.go.</w:t>
      </w:r>
    </w:p>
    <w:p>
      <w:pPr>
        <w:spacing w:after="40" w:before="40"/>
      </w:pPr>
      <w:r>
        <w:t xml:space="preserve">• Боевые адаптеры: internal/adapters/openai/, internal/adapters/anthropic/, internal/adapters/generic/.</w:t>
      </w:r>
    </w:p>
    <w:p>
      <w:pPr>
        <w:spacing w:after="40" w:before="40"/>
      </w:pPr>
      <w:r>
        <w:t xml:space="preserve">• Конфигурация 8 провайдеров: config/providers/openai-compatible.yaml.</w:t>
      </w:r>
    </w:p>
    <w:p>
      <w:pPr>
        <w:spacing w:after="40" w:before="40"/>
      </w:pPr>
      <w:r>
        <w:t xml:space="preserve">• Сводное руководство по интеграциям (16 инструментов): docs/guides/integrations.md.</w:t>
      </w:r>
    </w:p>
    <w:p>
      <w:pPr>
        <w:spacing w:after="120"/>
      </w:pPr>
    </w:p>
    <w:p>
      <w:pPr>
        <w:pStyle w:val="Heading2"/>
        <w:spacing w:after="80" w:before="180"/>
      </w:pPr>
      <w:r>
        <w:t xml:space="preserve">5. Заключение и соответствие Definition of Done (DoD)</w:t>
      </w:r>
    </w:p>
    <w:p>
      <w:pPr>
        <w:spacing w:after="60" w:before="60"/>
      </w:pPr>
      <w:r>
        <w:t xml:space="preserve">Все требования и задачи Семинара 5 выполнены командой в полном объёме. Исходный код, схемы и документация протестированы, закоммичены и отправлены в общий GitHub-репозиторий проекта (ветки codex/foundation-tasks и main). Карточки в трекере задач «Сфера SaaS» актуализированы с приложением подробных отчётов исполнителей.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2026-10-29T13:48:04.011Z</dcterms:created>
  <dcterms:modified xsi:type="dcterms:W3CDTF">2026-10-29T13:48:04.011Z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