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52E" w:rsidRPr="0088352E" w:rsidRDefault="0088352E">
      <w:pPr>
        <w:rPr>
          <w:b/>
          <w:u w:val="single"/>
        </w:rPr>
      </w:pPr>
      <w:r w:rsidRPr="0088352E">
        <w:rPr>
          <w:b/>
          <w:u w:val="single"/>
        </w:rPr>
        <w:t>Emergency Electricity Payment Scheme (EEPS)</w:t>
      </w:r>
    </w:p>
    <w:p w:rsidR="0088352E" w:rsidRDefault="0088352E" w:rsidP="0088352E"/>
    <w:p w:rsidR="0088352E" w:rsidRDefault="0088352E" w:rsidP="0088352E">
      <w:pPr>
        <w:rPr>
          <w:color w:val="1F497D"/>
        </w:rPr>
      </w:pPr>
      <w:r>
        <w:t xml:space="preserve">As at Friday 24 June </w:t>
      </w:r>
      <w:proofErr w:type="gramStart"/>
      <w:r>
        <w:t>2016</w:t>
      </w:r>
      <w:proofErr w:type="gramEnd"/>
      <w:r>
        <w:t xml:space="preserve"> the Emergency Electricity Payment </w:t>
      </w:r>
      <w:bookmarkStart w:id="0" w:name="_GoBack"/>
      <w:bookmarkEnd w:id="0"/>
      <w:r>
        <w:t>Scheme (EEPS) approved 1,170 applications for the 2015 to 2016 financial year.   </w:t>
      </w:r>
    </w:p>
    <w:p w:rsidR="0088352E" w:rsidRDefault="0088352E" w:rsidP="0088352E">
      <w:pPr>
        <w:rPr>
          <w:color w:val="1F497D"/>
        </w:rPr>
      </w:pPr>
    </w:p>
    <w:p w:rsidR="0088352E" w:rsidRDefault="0088352E" w:rsidP="0088352E">
      <w:pPr>
        <w:pStyle w:val="ListParagraph"/>
        <w:numPr>
          <w:ilvl w:val="0"/>
          <w:numId w:val="1"/>
        </w:numPr>
      </w:pPr>
      <w:r>
        <w:t xml:space="preserve">Number and % of approved applications by reason for applying </w:t>
      </w:r>
    </w:p>
    <w:p w:rsidR="0088352E" w:rsidRDefault="0088352E" w:rsidP="0088352E">
      <w:pPr>
        <w:pStyle w:val="ListParagraph"/>
        <w:rPr>
          <w:color w:val="1F497D"/>
        </w:rPr>
      </w:pPr>
    </w:p>
    <w:tbl>
      <w:tblPr>
        <w:tblW w:w="7680" w:type="dxa"/>
        <w:tblInd w:w="-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1720"/>
        <w:gridCol w:w="2320"/>
      </w:tblGrid>
      <w:tr w:rsidR="0088352E" w:rsidTr="0088352E">
        <w:trPr>
          <w:trHeight w:val="300"/>
        </w:trPr>
        <w:tc>
          <w:tcPr>
            <w:tcW w:w="3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rPr>
                <w:b/>
                <w:bCs/>
                <w:color w:val="0000FF"/>
                <w:lang w:eastAsia="en-AU"/>
              </w:rPr>
            </w:pPr>
            <w:r>
              <w:rPr>
                <w:b/>
                <w:bCs/>
                <w:color w:val="0000FF"/>
                <w:lang w:eastAsia="en-AU"/>
              </w:rPr>
              <w:t xml:space="preserve">Reason for EEPS Approved Requests 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0000FF"/>
                <w:lang w:eastAsia="en-AU"/>
              </w:rPr>
            </w:pPr>
            <w:r>
              <w:rPr>
                <w:b/>
                <w:bCs/>
                <w:color w:val="0000FF"/>
                <w:lang w:eastAsia="en-AU"/>
              </w:rPr>
              <w:t>#</w:t>
            </w:r>
          </w:p>
        </w:tc>
        <w:tc>
          <w:tcPr>
            <w:tcW w:w="2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 </w:t>
            </w:r>
          </w:p>
        </w:tc>
      </w:tr>
      <w:tr w:rsidR="0088352E" w:rsidTr="0088352E">
        <w:trPr>
          <w:trHeight w:val="300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 xml:space="preserve">Increase in electricity use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57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4.87%</w:t>
            </w:r>
          </w:p>
        </w:tc>
      </w:tr>
      <w:tr w:rsidR="0088352E" w:rsidTr="0088352E">
        <w:trPr>
          <w:trHeight w:val="300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 xml:space="preserve">Decrease in income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251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21.45%</w:t>
            </w:r>
          </w:p>
        </w:tc>
      </w:tr>
      <w:tr w:rsidR="0088352E" w:rsidTr="0088352E">
        <w:trPr>
          <w:trHeight w:val="300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Unexpected increase in expenses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110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9.40%</w:t>
            </w:r>
          </w:p>
        </w:tc>
      </w:tr>
      <w:tr w:rsidR="0088352E" w:rsidTr="0088352E">
        <w:trPr>
          <w:trHeight w:val="300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Familial breakdown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137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11.71%</w:t>
            </w:r>
          </w:p>
        </w:tc>
      </w:tr>
      <w:tr w:rsidR="0088352E" w:rsidTr="0088352E">
        <w:trPr>
          <w:trHeight w:val="300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Birth of a child/children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13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1.11%</w:t>
            </w:r>
          </w:p>
        </w:tc>
      </w:tr>
      <w:tr w:rsidR="0088352E" w:rsidTr="0088352E">
        <w:trPr>
          <w:trHeight w:val="588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Medical conditions (suffer from or caring for)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266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22.74%</w:t>
            </w:r>
          </w:p>
        </w:tc>
      </w:tr>
      <w:tr w:rsidR="0088352E" w:rsidTr="0088352E">
        <w:trPr>
          <w:trHeight w:val="588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 xml:space="preserve">Increased housing stress (mortgage/rent)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22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1.88%</w:t>
            </w:r>
          </w:p>
        </w:tc>
      </w:tr>
      <w:tr w:rsidR="0088352E" w:rsidTr="0088352E">
        <w:trPr>
          <w:trHeight w:val="588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Experiencing acute, general, financial stress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314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26.84%</w:t>
            </w:r>
          </w:p>
        </w:tc>
      </w:tr>
      <w:tr w:rsidR="0088352E" w:rsidTr="0088352E">
        <w:trPr>
          <w:trHeight w:val="300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0000FF"/>
                <w:lang w:eastAsia="en-AU"/>
              </w:rPr>
            </w:pPr>
            <w:r>
              <w:rPr>
                <w:b/>
                <w:bCs/>
                <w:color w:val="0000FF"/>
                <w:lang w:eastAsia="en-AU"/>
              </w:rPr>
              <w:t>1170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 </w:t>
            </w:r>
          </w:p>
        </w:tc>
      </w:tr>
    </w:tbl>
    <w:p w:rsidR="0088352E" w:rsidRDefault="0088352E" w:rsidP="0088352E">
      <w:pPr>
        <w:rPr>
          <w:color w:val="1F497D"/>
        </w:rPr>
      </w:pPr>
    </w:p>
    <w:p w:rsidR="0088352E" w:rsidRDefault="0088352E" w:rsidP="0088352E">
      <w:pPr>
        <w:pStyle w:val="ListParagraph"/>
        <w:numPr>
          <w:ilvl w:val="0"/>
          <w:numId w:val="1"/>
        </w:numPr>
      </w:pPr>
      <w:r>
        <w:t xml:space="preserve">Number and % approved applications by Regions where approved applicants live </w:t>
      </w:r>
    </w:p>
    <w:p w:rsidR="0088352E" w:rsidRDefault="0088352E" w:rsidP="0088352E">
      <w:pPr>
        <w:pStyle w:val="ListParagraph"/>
      </w:pPr>
    </w:p>
    <w:tbl>
      <w:tblPr>
        <w:tblW w:w="7680" w:type="dxa"/>
        <w:tblInd w:w="-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1720"/>
        <w:gridCol w:w="2320"/>
      </w:tblGrid>
      <w:tr w:rsidR="0088352E" w:rsidTr="0088352E">
        <w:trPr>
          <w:trHeight w:val="300"/>
        </w:trPr>
        <w:tc>
          <w:tcPr>
            <w:tcW w:w="36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0000FF"/>
                <w:lang w:eastAsia="en-AU"/>
              </w:rPr>
            </w:pPr>
            <w:r>
              <w:rPr>
                <w:b/>
                <w:bCs/>
                <w:color w:val="0000FF"/>
                <w:lang w:eastAsia="en-AU"/>
              </w:rPr>
              <w:t xml:space="preserve">Region by Suburb 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0000FF"/>
                <w:lang w:eastAsia="en-AU"/>
              </w:rPr>
            </w:pPr>
            <w:r>
              <w:rPr>
                <w:b/>
                <w:bCs/>
                <w:color w:val="0000FF"/>
                <w:lang w:eastAsia="en-AU"/>
              </w:rPr>
              <w:t xml:space="preserve"># </w:t>
            </w:r>
          </w:p>
        </w:tc>
        <w:tc>
          <w:tcPr>
            <w:tcW w:w="2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 </w:t>
            </w:r>
          </w:p>
        </w:tc>
      </w:tr>
      <w:tr w:rsidR="0088352E" w:rsidTr="0088352E">
        <w:trPr>
          <w:trHeight w:val="300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Adelaide Hills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26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2.22%</w:t>
            </w:r>
          </w:p>
        </w:tc>
      </w:tr>
      <w:tr w:rsidR="0088352E" w:rsidTr="0088352E">
        <w:trPr>
          <w:trHeight w:val="300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Barossa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58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4.96%</w:t>
            </w:r>
          </w:p>
        </w:tc>
      </w:tr>
      <w:tr w:rsidR="0088352E" w:rsidTr="0088352E">
        <w:trPr>
          <w:trHeight w:val="588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 xml:space="preserve">Eastern Adelaide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45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3.85%</w:t>
            </w:r>
          </w:p>
        </w:tc>
      </w:tr>
      <w:tr w:rsidR="0088352E" w:rsidTr="0088352E">
        <w:trPr>
          <w:trHeight w:val="300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Eyre and Western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64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5.47%</w:t>
            </w:r>
          </w:p>
        </w:tc>
      </w:tr>
      <w:tr w:rsidR="0088352E" w:rsidTr="0088352E">
        <w:trPr>
          <w:trHeight w:val="300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Far North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28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2.39%</w:t>
            </w:r>
          </w:p>
        </w:tc>
      </w:tr>
      <w:tr w:rsidR="0088352E" w:rsidTr="0088352E">
        <w:trPr>
          <w:trHeight w:val="492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sz w:val="18"/>
                <w:szCs w:val="18"/>
                <w:lang w:eastAsia="en-AU"/>
              </w:rPr>
            </w:pPr>
            <w:proofErr w:type="spellStart"/>
            <w:r>
              <w:rPr>
                <w:color w:val="000000"/>
                <w:sz w:val="18"/>
                <w:szCs w:val="18"/>
                <w:lang w:eastAsia="en-AU"/>
              </w:rPr>
              <w:t>Fleurieu</w:t>
            </w:r>
            <w:proofErr w:type="spellEnd"/>
            <w:r>
              <w:rPr>
                <w:color w:val="000000"/>
                <w:sz w:val="18"/>
                <w:szCs w:val="18"/>
                <w:lang w:eastAsia="en-AU"/>
              </w:rPr>
              <w:t xml:space="preserve"> and Kangaroo Island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19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1.62%</w:t>
            </w:r>
          </w:p>
        </w:tc>
      </w:tr>
      <w:tr w:rsidR="0088352E" w:rsidTr="0088352E">
        <w:trPr>
          <w:trHeight w:val="300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Limestone Coast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66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5.64%</w:t>
            </w:r>
          </w:p>
        </w:tc>
      </w:tr>
      <w:tr w:rsidR="0088352E" w:rsidTr="0088352E">
        <w:trPr>
          <w:trHeight w:val="300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Murray and Mallee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5.38%</w:t>
            </w:r>
          </w:p>
        </w:tc>
      </w:tr>
      <w:tr w:rsidR="0088352E" w:rsidTr="0088352E">
        <w:trPr>
          <w:trHeight w:val="588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 xml:space="preserve">Northern Adelaide 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381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32.56%</w:t>
            </w:r>
          </w:p>
        </w:tc>
      </w:tr>
      <w:tr w:rsidR="0088352E" w:rsidTr="0088352E">
        <w:trPr>
          <w:trHeight w:val="588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 xml:space="preserve">Southern Adelaide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232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19.83%</w:t>
            </w:r>
          </w:p>
        </w:tc>
      </w:tr>
      <w:tr w:rsidR="0088352E" w:rsidTr="0088352E">
        <w:trPr>
          <w:trHeight w:val="588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 xml:space="preserve">Western Adelaide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119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10.17%</w:t>
            </w:r>
          </w:p>
        </w:tc>
      </w:tr>
      <w:tr w:rsidR="0088352E" w:rsidTr="0088352E">
        <w:trPr>
          <w:trHeight w:val="300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proofErr w:type="spellStart"/>
            <w:r>
              <w:rPr>
                <w:color w:val="000000"/>
                <w:lang w:eastAsia="en-AU"/>
              </w:rPr>
              <w:t>Yorke</w:t>
            </w:r>
            <w:proofErr w:type="spellEnd"/>
            <w:r>
              <w:rPr>
                <w:color w:val="000000"/>
                <w:lang w:eastAsia="en-AU"/>
              </w:rPr>
              <w:t xml:space="preserve"> and Mid North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69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5.90%</w:t>
            </w:r>
          </w:p>
        </w:tc>
      </w:tr>
      <w:tr w:rsidR="0088352E" w:rsidTr="0088352E">
        <w:trPr>
          <w:trHeight w:val="300"/>
        </w:trPr>
        <w:tc>
          <w:tcPr>
            <w:tcW w:w="36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rPr>
                <w:color w:val="000000"/>
                <w:lang w:eastAsia="en-AU"/>
              </w:rPr>
            </w:pPr>
            <w:r>
              <w:rPr>
                <w:color w:val="000000"/>
                <w:lang w:eastAsia="en-AU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0000FF"/>
                <w:lang w:eastAsia="en-AU"/>
              </w:rPr>
            </w:pPr>
            <w:r>
              <w:rPr>
                <w:b/>
                <w:bCs/>
                <w:color w:val="0000FF"/>
                <w:lang w:eastAsia="en-AU"/>
              </w:rPr>
              <w:t>1170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8352E" w:rsidRDefault="0088352E">
            <w:pPr>
              <w:jc w:val="center"/>
              <w:rPr>
                <w:b/>
                <w:bCs/>
                <w:color w:val="339966"/>
                <w:lang w:eastAsia="en-AU"/>
              </w:rPr>
            </w:pPr>
            <w:r>
              <w:rPr>
                <w:b/>
                <w:bCs/>
                <w:color w:val="339966"/>
                <w:lang w:eastAsia="en-AU"/>
              </w:rPr>
              <w:t> </w:t>
            </w:r>
          </w:p>
        </w:tc>
      </w:tr>
    </w:tbl>
    <w:p w:rsidR="0088352E" w:rsidRDefault="0088352E" w:rsidP="0088352E">
      <w:pPr>
        <w:rPr>
          <w:color w:val="1F497D"/>
        </w:rPr>
      </w:pPr>
    </w:p>
    <w:p w:rsidR="0088352E" w:rsidRDefault="0088352E" w:rsidP="0088352E">
      <w:pPr>
        <w:pStyle w:val="ListParagraph"/>
        <w:numPr>
          <w:ilvl w:val="0"/>
          <w:numId w:val="1"/>
        </w:numPr>
      </w:pPr>
      <w:r>
        <w:t xml:space="preserve">Number and % of ATSI identifier of the approved applicants </w:t>
      </w:r>
    </w:p>
    <w:p w:rsidR="0088352E" w:rsidRDefault="0088352E" w:rsidP="0088352E">
      <w:pPr>
        <w:pStyle w:val="ListParagraph"/>
      </w:pPr>
    </w:p>
    <w:p w:rsidR="0088352E" w:rsidRDefault="0088352E" w:rsidP="0088352E">
      <w:r>
        <w:t>Number of ATSI who have been approved an EEPS payment = 130 out of 1,170 = 11.1%</w:t>
      </w:r>
    </w:p>
    <w:p w:rsidR="003C0237" w:rsidRPr="0088352E" w:rsidRDefault="0088352E" w:rsidP="0088352E">
      <w:pPr>
        <w:jc w:val="center"/>
      </w:pPr>
    </w:p>
    <w:sectPr w:rsidR="003C0237" w:rsidRPr="00883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E47ECE"/>
    <w:multiLevelType w:val="hybridMultilevel"/>
    <w:tmpl w:val="8FEA799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52E"/>
    <w:rsid w:val="0007617D"/>
    <w:rsid w:val="0088352E"/>
    <w:rsid w:val="00EE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52E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52E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52E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52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01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 for Communities &amp; Social Inclusion</Company>
  <LinksUpToDate>false</LinksUpToDate>
  <CharactersWithSpaces>1241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Gorowara</dc:creator>
  <cp:lastModifiedBy>Tarun Gorowara</cp:lastModifiedBy>
  <cp:revision>1</cp:revision>
  <dcterms:created xsi:type="dcterms:W3CDTF">2016-06-29T05:19:00Z</dcterms:created>
  <dcterms:modified xsi:type="dcterms:W3CDTF">2016-06-29T05:20:00Z</dcterms:modified>
</cp:coreProperties>
</file>