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B6B68" w14:textId="77777777" w:rsidR="008964DA" w:rsidRPr="00C20044" w:rsidRDefault="008964DA" w:rsidP="008964DA">
      <w:pPr>
        <w:rPr>
          <w:rFonts w:ascii="Calibri" w:hAnsi="Calibri" w:cs="Calibri"/>
          <w:b/>
          <w:bCs/>
        </w:rPr>
      </w:pPr>
      <w:r w:rsidRPr="00C20044">
        <w:rPr>
          <w:rFonts w:ascii="Calibri" w:hAnsi="Calibri" w:cs="Calibri"/>
          <w:b/>
          <w:bCs/>
        </w:rPr>
        <w:t>Customer Churn Analysis Summary</w:t>
      </w:r>
    </w:p>
    <w:p w14:paraId="1763B4E5" w14:textId="6653E595" w:rsidR="008964DA" w:rsidRPr="008964DA" w:rsidRDefault="008964DA" w:rsidP="008964DA">
      <w:pPr>
        <w:rPr>
          <w:rFonts w:ascii="Calibri" w:hAnsi="Calibri" w:cs="Calibri"/>
          <w:b/>
          <w:bCs/>
        </w:rPr>
      </w:pPr>
      <w:r w:rsidRPr="008964DA">
        <w:rPr>
          <w:rFonts w:ascii="Calibri" w:hAnsi="Calibri" w:cs="Calibri"/>
          <w:b/>
          <w:bCs/>
        </w:rPr>
        <w:t>Project Overview</w:t>
      </w:r>
    </w:p>
    <w:p w14:paraId="671F7D93" w14:textId="3CA51BD3" w:rsidR="008964DA" w:rsidRDefault="008964DA" w:rsidP="008964DA">
      <w:pPr>
        <w:rPr>
          <w:rFonts w:ascii="Calibri" w:hAnsi="Calibri" w:cs="Calibri"/>
        </w:rPr>
      </w:pPr>
      <w:r w:rsidRPr="008964DA">
        <w:rPr>
          <w:rFonts w:ascii="Calibri" w:hAnsi="Calibri" w:cs="Calibri"/>
        </w:rPr>
        <w:t xml:space="preserve">The objective of this analysis was to identify patterns that lead to customer churn in a subscription-based service, focusing on various customer demographics, subscription details, and usage patterns. </w:t>
      </w:r>
      <w:r>
        <w:rPr>
          <w:rFonts w:ascii="Calibri" w:hAnsi="Calibri" w:cs="Calibri"/>
        </w:rPr>
        <w:t xml:space="preserve">The aim was </w:t>
      </w:r>
      <w:r w:rsidR="00C20044">
        <w:rPr>
          <w:rFonts w:ascii="Calibri" w:hAnsi="Calibri" w:cs="Calibri"/>
        </w:rPr>
        <w:t>t</w:t>
      </w:r>
      <w:r w:rsidRPr="008964DA">
        <w:rPr>
          <w:rFonts w:ascii="Calibri" w:hAnsi="Calibri" w:cs="Calibri"/>
        </w:rPr>
        <w:t>o generate insights to inform targeted retention strategies.</w:t>
      </w:r>
    </w:p>
    <w:p w14:paraId="0D8E2AA0" w14:textId="77777777" w:rsidR="00A4369C" w:rsidRPr="00A4369C" w:rsidRDefault="00A4369C" w:rsidP="00A4369C">
      <w:pPr>
        <w:rPr>
          <w:rFonts w:ascii="Calibri" w:hAnsi="Calibri" w:cs="Calibri"/>
          <w:b/>
          <w:bCs/>
        </w:rPr>
      </w:pPr>
      <w:r w:rsidRPr="00A4369C">
        <w:rPr>
          <w:rFonts w:ascii="Calibri" w:hAnsi="Calibri" w:cs="Calibri"/>
          <w:b/>
          <w:bCs/>
        </w:rPr>
        <w:t>Data Information</w:t>
      </w:r>
    </w:p>
    <w:p w14:paraId="2205EF87" w14:textId="1986330B" w:rsidR="00A4369C" w:rsidRPr="00A4369C" w:rsidRDefault="00A4369C" w:rsidP="00A4369C">
      <w:pPr>
        <w:rPr>
          <w:rFonts w:ascii="Calibri" w:hAnsi="Calibri" w:cs="Calibri"/>
        </w:rPr>
      </w:pPr>
      <w:r w:rsidRPr="00A4369C">
        <w:rPr>
          <w:rFonts w:ascii="Calibri" w:hAnsi="Calibri" w:cs="Calibri"/>
        </w:rPr>
        <w:t xml:space="preserve">The analysis was conducted using a PostgreSQL database, and the dataset used is the Telco Customer Churn dataset from </w:t>
      </w:r>
      <w:hyperlink r:id="rId6" w:history="1">
        <w:r w:rsidRPr="00A4369C">
          <w:rPr>
            <w:rStyle w:val="Hyperlink"/>
            <w:rFonts w:ascii="Calibri" w:hAnsi="Calibri" w:cs="Calibri"/>
          </w:rPr>
          <w:t>Kaggle</w:t>
        </w:r>
      </w:hyperlink>
      <w:r w:rsidRPr="00A4369C">
        <w:rPr>
          <w:rFonts w:ascii="Calibri" w:hAnsi="Calibri" w:cs="Calibri"/>
        </w:rPr>
        <w:t xml:space="preserve">. For clarity and to demonstrate advanced SQL skills, the dataset was reviewed in Excel and split into two tables: Customers and Subscriptions. This split </w:t>
      </w:r>
      <w:r w:rsidR="007C657A">
        <w:rPr>
          <w:rFonts w:ascii="Calibri" w:hAnsi="Calibri" w:cs="Calibri"/>
        </w:rPr>
        <w:t xml:space="preserve">was done to </w:t>
      </w:r>
      <w:r w:rsidRPr="00A4369C">
        <w:rPr>
          <w:rFonts w:ascii="Calibri" w:hAnsi="Calibri" w:cs="Calibri"/>
        </w:rPr>
        <w:t>showcase SQL joins and other advanced querying techniques.</w:t>
      </w:r>
    </w:p>
    <w:p w14:paraId="58C2D8BF" w14:textId="77777777" w:rsidR="00A4369C" w:rsidRPr="00A4369C" w:rsidRDefault="00A4369C" w:rsidP="00A4369C">
      <w:pPr>
        <w:numPr>
          <w:ilvl w:val="0"/>
          <w:numId w:val="6"/>
        </w:numPr>
        <w:rPr>
          <w:rFonts w:ascii="Calibri" w:hAnsi="Calibri" w:cs="Calibri"/>
        </w:rPr>
      </w:pPr>
      <w:r w:rsidRPr="00A4369C">
        <w:rPr>
          <w:rFonts w:ascii="Calibri" w:hAnsi="Calibri" w:cs="Calibri"/>
        </w:rPr>
        <w:t>Customers Table:</w:t>
      </w:r>
    </w:p>
    <w:p w14:paraId="4601F4E6" w14:textId="77777777" w:rsidR="00A4369C" w:rsidRPr="00A4369C" w:rsidRDefault="00A4369C" w:rsidP="00A4369C">
      <w:pPr>
        <w:numPr>
          <w:ilvl w:val="1"/>
          <w:numId w:val="6"/>
        </w:numPr>
        <w:rPr>
          <w:rFonts w:ascii="Calibri" w:hAnsi="Calibri" w:cs="Calibri"/>
        </w:rPr>
      </w:pPr>
      <w:r w:rsidRPr="00A4369C">
        <w:rPr>
          <w:rFonts w:ascii="Calibri" w:hAnsi="Calibri" w:cs="Calibri"/>
        </w:rPr>
        <w:t>Columns: ID (primary key), gender, SeniorCitizen (boolean), Partner (boolean), and Dependents (boolean).</w:t>
      </w:r>
    </w:p>
    <w:p w14:paraId="541CE967" w14:textId="77777777" w:rsidR="00A4369C" w:rsidRPr="00A4369C" w:rsidRDefault="00A4369C" w:rsidP="00A4369C">
      <w:pPr>
        <w:numPr>
          <w:ilvl w:val="0"/>
          <w:numId w:val="6"/>
        </w:numPr>
        <w:rPr>
          <w:rFonts w:ascii="Calibri" w:hAnsi="Calibri" w:cs="Calibri"/>
        </w:rPr>
      </w:pPr>
      <w:r w:rsidRPr="00A4369C">
        <w:rPr>
          <w:rFonts w:ascii="Calibri" w:hAnsi="Calibri" w:cs="Calibri"/>
        </w:rPr>
        <w:t>Subscriptions Table:</w:t>
      </w:r>
    </w:p>
    <w:p w14:paraId="74330A0D" w14:textId="77777777" w:rsidR="00A4369C" w:rsidRPr="00A4369C" w:rsidRDefault="00A4369C" w:rsidP="00A4369C">
      <w:pPr>
        <w:numPr>
          <w:ilvl w:val="1"/>
          <w:numId w:val="6"/>
        </w:numPr>
        <w:rPr>
          <w:rFonts w:ascii="Calibri" w:hAnsi="Calibri" w:cs="Calibri"/>
        </w:rPr>
      </w:pPr>
      <w:r w:rsidRPr="00A4369C">
        <w:rPr>
          <w:rFonts w:ascii="Calibri" w:hAnsi="Calibri" w:cs="Calibri"/>
        </w:rPr>
        <w:t>Columns: ID (randomly generated without duplicates), customerID (foreign key referencing Customers.ID), tenure (in months), PhoneService (boolean), InternetService (boolean), Contract, MonthlyCharges, TotalCharges, and Churn.</w:t>
      </w:r>
    </w:p>
    <w:p w14:paraId="65159BAB" w14:textId="77777777" w:rsidR="00A4369C" w:rsidRPr="00A4369C" w:rsidRDefault="00A4369C" w:rsidP="00A4369C">
      <w:pPr>
        <w:rPr>
          <w:rFonts w:ascii="Calibri" w:hAnsi="Calibri" w:cs="Calibri"/>
        </w:rPr>
      </w:pPr>
      <w:r w:rsidRPr="00A4369C">
        <w:rPr>
          <w:rFonts w:ascii="Calibri" w:hAnsi="Calibri" w:cs="Calibri"/>
        </w:rPr>
        <w:t>During the data import process into pgAdmin 4, an issue was identified with the TotalCharges column, as it contained empty strings, which caused an import error. These rows were cleared in Excel, allowing the data to be successfully imported into PostgreSQL for analysis.</w:t>
      </w:r>
    </w:p>
    <w:p w14:paraId="03F35B21" w14:textId="77777777" w:rsidR="008964DA" w:rsidRPr="008964DA" w:rsidRDefault="008964DA" w:rsidP="008964DA">
      <w:pPr>
        <w:rPr>
          <w:rFonts w:ascii="Calibri" w:hAnsi="Calibri" w:cs="Calibri"/>
        </w:rPr>
      </w:pPr>
    </w:p>
    <w:p w14:paraId="3E214CB7" w14:textId="77777777" w:rsidR="008964DA" w:rsidRDefault="008964DA" w:rsidP="008964DA">
      <w:pPr>
        <w:rPr>
          <w:rFonts w:ascii="Calibri" w:hAnsi="Calibri" w:cs="Calibri"/>
        </w:rPr>
      </w:pPr>
      <w:r w:rsidRPr="008964DA">
        <w:rPr>
          <w:rFonts w:ascii="Calibri" w:hAnsi="Calibri" w:cs="Calibri"/>
          <w:noProof/>
        </w:rPr>
      </w:r>
      <w:r w:rsidR="008964DA" w:rsidRPr="008964DA">
        <w:rPr>
          <w:rFonts w:ascii="Calibri" w:hAnsi="Calibri" w:cs="Calibri"/>
          <w:noProof/>
        </w:rPr>
        <w:pict w14:anchorId="35C611F5">
          <v:rect id="_x0000_i1048" alt="" style="width:451.3pt;height:.05pt;mso-width-percent:0;mso-height-percent:0;mso-width-percent:0;mso-height-percent:0" o:hralign="center" o:hrstd="t" o:hr="t" fillcolor="#a0a0a0" stroked="f"/>
        </w:pict>
      </w:r>
    </w:p>
    <w:p w14:paraId="1994C251" w14:textId="77777777" w:rsidR="00BA3DB6" w:rsidRPr="008964DA" w:rsidRDefault="00BA3DB6" w:rsidP="008964DA">
      <w:pPr>
        <w:rPr>
          <w:rFonts w:ascii="Calibri" w:hAnsi="Calibri" w:cs="Calibri"/>
          <w:b/>
          <w:bCs/>
        </w:rPr>
      </w:pPr>
    </w:p>
    <w:p w14:paraId="1E88D9EE" w14:textId="77777777" w:rsidR="008964DA" w:rsidRPr="008964DA" w:rsidRDefault="008964DA" w:rsidP="008964DA">
      <w:pPr>
        <w:rPr>
          <w:rFonts w:ascii="Calibri" w:hAnsi="Calibri" w:cs="Calibri"/>
          <w:b/>
          <w:bCs/>
        </w:rPr>
      </w:pPr>
      <w:r w:rsidRPr="008964DA">
        <w:rPr>
          <w:rFonts w:ascii="Calibri" w:hAnsi="Calibri" w:cs="Calibri"/>
          <w:b/>
          <w:bCs/>
        </w:rPr>
        <w:t>Key Findings</w:t>
      </w:r>
    </w:p>
    <w:p w14:paraId="031D43F3" w14:textId="77777777" w:rsidR="008964DA" w:rsidRPr="008964DA" w:rsidRDefault="008964DA" w:rsidP="008964DA">
      <w:pPr>
        <w:numPr>
          <w:ilvl w:val="0"/>
          <w:numId w:val="3"/>
        </w:numPr>
        <w:rPr>
          <w:rFonts w:ascii="Calibri" w:hAnsi="Calibri" w:cs="Calibri"/>
          <w:color w:val="FF0000"/>
        </w:rPr>
      </w:pPr>
      <w:r w:rsidRPr="008964DA">
        <w:rPr>
          <w:rFonts w:ascii="Calibri" w:hAnsi="Calibri" w:cs="Calibri"/>
          <w:color w:val="FF0000"/>
        </w:rPr>
        <w:t>Churn by Contract Type:</w:t>
      </w:r>
    </w:p>
    <w:p w14:paraId="14C47581" w14:textId="77777777" w:rsidR="008964DA" w:rsidRPr="008964DA" w:rsidRDefault="008964DA" w:rsidP="008964DA">
      <w:pPr>
        <w:numPr>
          <w:ilvl w:val="1"/>
          <w:numId w:val="3"/>
        </w:numPr>
        <w:rPr>
          <w:rFonts w:ascii="Calibri" w:hAnsi="Calibri" w:cs="Calibri"/>
        </w:rPr>
      </w:pPr>
      <w:r w:rsidRPr="008964DA">
        <w:rPr>
          <w:rFonts w:ascii="Calibri" w:hAnsi="Calibri" w:cs="Calibri"/>
        </w:rPr>
        <w:t>Month-to-Month Contracts: 42% churn rate, the highest among contract types, indicating that customers on flexible terms are at higher risk of churning.</w:t>
      </w:r>
    </w:p>
    <w:p w14:paraId="4FDCA07E" w14:textId="77777777" w:rsidR="008964DA" w:rsidRPr="008964DA" w:rsidRDefault="008964DA" w:rsidP="008964DA">
      <w:pPr>
        <w:numPr>
          <w:ilvl w:val="1"/>
          <w:numId w:val="3"/>
        </w:numPr>
        <w:rPr>
          <w:rFonts w:ascii="Calibri" w:hAnsi="Calibri" w:cs="Calibri"/>
        </w:rPr>
      </w:pPr>
      <w:r w:rsidRPr="008964DA">
        <w:rPr>
          <w:rFonts w:ascii="Calibri" w:hAnsi="Calibri" w:cs="Calibri"/>
        </w:rPr>
        <w:t>One-Year Contracts: 11% churn rate, showing improved retention with longer commitment.</w:t>
      </w:r>
    </w:p>
    <w:p w14:paraId="5E05EF51" w14:textId="77777777" w:rsidR="008964DA" w:rsidRDefault="008964DA" w:rsidP="008964DA">
      <w:pPr>
        <w:numPr>
          <w:ilvl w:val="1"/>
          <w:numId w:val="3"/>
        </w:numPr>
        <w:rPr>
          <w:rFonts w:ascii="Calibri" w:hAnsi="Calibri" w:cs="Calibri"/>
        </w:rPr>
      </w:pPr>
      <w:r w:rsidRPr="008964DA">
        <w:rPr>
          <w:rFonts w:ascii="Calibri" w:hAnsi="Calibri" w:cs="Calibri"/>
        </w:rPr>
        <w:lastRenderedPageBreak/>
        <w:t>Two-Year Contracts: 2% churn rate, suggesting the highest loyalty for customers who commit long-term.</w:t>
      </w:r>
    </w:p>
    <w:p w14:paraId="3F226A81" w14:textId="3E485294" w:rsidR="007C657A" w:rsidRPr="008964DA" w:rsidRDefault="007C657A" w:rsidP="007C657A">
      <w:pPr>
        <w:rPr>
          <w:rFonts w:ascii="Calibri" w:hAnsi="Calibri" w:cs="Calibri"/>
        </w:rPr>
      </w:pPr>
      <w:r>
        <w:rPr>
          <w:rFonts w:ascii="Calibri" w:hAnsi="Calibri" w:cs="Calibri"/>
          <w:noProof/>
        </w:rPr>
        <w:drawing>
          <wp:inline distT="0" distB="0" distL="0" distR="0" wp14:anchorId="7794C1DE" wp14:editId="246A184E">
            <wp:extent cx="5731510" cy="1636395"/>
            <wp:effectExtent l="0" t="0" r="0" b="1905"/>
            <wp:docPr id="954778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78727"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14:paraId="24BAE5B2" w14:textId="77777777" w:rsidR="008964DA" w:rsidRPr="008964DA" w:rsidRDefault="008964DA" w:rsidP="008964DA">
      <w:pPr>
        <w:rPr>
          <w:rFonts w:ascii="Calibri" w:hAnsi="Calibri" w:cs="Calibri"/>
          <w:b/>
          <w:bCs/>
          <w:i/>
          <w:iCs/>
        </w:rPr>
      </w:pPr>
      <w:r w:rsidRPr="008964DA">
        <w:rPr>
          <w:rFonts w:ascii="Calibri" w:hAnsi="Calibri" w:cs="Calibri"/>
          <w:b/>
          <w:bCs/>
          <w:i/>
          <w:iCs/>
        </w:rPr>
        <w:t>Insight: Customers on month-to-month contracts are more likely to churn, indicating a need for retention efforts targeting flexible contracts.</w:t>
      </w:r>
    </w:p>
    <w:p w14:paraId="310AAD64" w14:textId="77777777" w:rsidR="008964DA" w:rsidRPr="008964DA" w:rsidRDefault="008964DA" w:rsidP="008964DA">
      <w:pPr>
        <w:numPr>
          <w:ilvl w:val="0"/>
          <w:numId w:val="3"/>
        </w:numPr>
        <w:rPr>
          <w:rFonts w:ascii="Calibri" w:hAnsi="Calibri" w:cs="Calibri"/>
          <w:color w:val="FF0000"/>
        </w:rPr>
      </w:pPr>
      <w:r w:rsidRPr="008964DA">
        <w:rPr>
          <w:rFonts w:ascii="Calibri" w:hAnsi="Calibri" w:cs="Calibri"/>
          <w:color w:val="FF0000"/>
        </w:rPr>
        <w:t>Churn by Internet Service Type:</w:t>
      </w:r>
    </w:p>
    <w:p w14:paraId="01AA9300" w14:textId="77777777" w:rsidR="008964DA" w:rsidRPr="008964DA" w:rsidRDefault="008964DA" w:rsidP="008964DA">
      <w:pPr>
        <w:numPr>
          <w:ilvl w:val="1"/>
          <w:numId w:val="3"/>
        </w:numPr>
        <w:rPr>
          <w:rFonts w:ascii="Calibri" w:hAnsi="Calibri" w:cs="Calibri"/>
        </w:rPr>
      </w:pPr>
      <w:r w:rsidRPr="008964DA">
        <w:rPr>
          <w:rFonts w:ascii="Calibri" w:hAnsi="Calibri" w:cs="Calibri"/>
        </w:rPr>
        <w:t>Fiber Optic: 41% churn rate, indicating possible dissatisfaction among fiber optic customers.</w:t>
      </w:r>
    </w:p>
    <w:p w14:paraId="07D606EC" w14:textId="77777777" w:rsidR="008964DA" w:rsidRPr="008964DA" w:rsidRDefault="008964DA" w:rsidP="008964DA">
      <w:pPr>
        <w:numPr>
          <w:ilvl w:val="1"/>
          <w:numId w:val="3"/>
        </w:numPr>
        <w:rPr>
          <w:rFonts w:ascii="Calibri" w:hAnsi="Calibri" w:cs="Calibri"/>
        </w:rPr>
      </w:pPr>
      <w:r w:rsidRPr="008964DA">
        <w:rPr>
          <w:rFonts w:ascii="Calibri" w:hAnsi="Calibri" w:cs="Calibri"/>
        </w:rPr>
        <w:t>DSL: 18% churn rate, suggesting moderate retention.</w:t>
      </w:r>
    </w:p>
    <w:p w14:paraId="0EEF408E" w14:textId="11DE5CDB" w:rsidR="007C657A" w:rsidRDefault="008964DA" w:rsidP="007C657A">
      <w:pPr>
        <w:numPr>
          <w:ilvl w:val="1"/>
          <w:numId w:val="3"/>
        </w:numPr>
        <w:rPr>
          <w:rFonts w:ascii="Calibri" w:hAnsi="Calibri" w:cs="Calibri"/>
        </w:rPr>
      </w:pPr>
      <w:r w:rsidRPr="008964DA">
        <w:rPr>
          <w:rFonts w:ascii="Calibri" w:hAnsi="Calibri" w:cs="Calibri"/>
        </w:rPr>
        <w:t>No Internet Service: 7% churn rate, the lowest, likely because these customers are less reliant on the service.</w:t>
      </w:r>
    </w:p>
    <w:p w14:paraId="55085D30" w14:textId="22BFC20F" w:rsidR="007C657A" w:rsidRPr="008964DA" w:rsidRDefault="007C657A" w:rsidP="007C657A">
      <w:pPr>
        <w:rPr>
          <w:rFonts w:ascii="Calibri" w:hAnsi="Calibri" w:cs="Calibri"/>
        </w:rPr>
      </w:pPr>
      <w:r>
        <w:rPr>
          <w:rFonts w:ascii="Calibri" w:hAnsi="Calibri" w:cs="Calibri"/>
          <w:noProof/>
        </w:rPr>
        <w:drawing>
          <wp:inline distT="0" distB="0" distL="0" distR="0" wp14:anchorId="31846E33" wp14:editId="5E9565AA">
            <wp:extent cx="5731510" cy="2152650"/>
            <wp:effectExtent l="0" t="0" r="0" b="6350"/>
            <wp:docPr id="1664191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9170"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43B78A32" w14:textId="77777777" w:rsidR="008964DA" w:rsidRDefault="008964DA" w:rsidP="008964DA">
      <w:pPr>
        <w:rPr>
          <w:rFonts w:ascii="Calibri" w:hAnsi="Calibri" w:cs="Calibri"/>
          <w:b/>
          <w:bCs/>
          <w:i/>
          <w:iCs/>
        </w:rPr>
      </w:pPr>
      <w:r w:rsidRPr="008964DA">
        <w:rPr>
          <w:rFonts w:ascii="Calibri" w:hAnsi="Calibri" w:cs="Calibri"/>
          <w:b/>
          <w:bCs/>
          <w:i/>
          <w:iCs/>
        </w:rPr>
        <w:t>Insight: Fiber optic customers are at higher risk of churning. Service improvements or pricing adjustments might be necessary.</w:t>
      </w:r>
    </w:p>
    <w:p w14:paraId="5F88A443" w14:textId="77777777" w:rsidR="007C657A" w:rsidRPr="008964DA" w:rsidRDefault="007C657A" w:rsidP="008964DA">
      <w:pPr>
        <w:rPr>
          <w:rFonts w:ascii="Calibri" w:hAnsi="Calibri" w:cs="Calibri"/>
          <w:b/>
          <w:bCs/>
          <w:i/>
          <w:iCs/>
        </w:rPr>
      </w:pPr>
    </w:p>
    <w:p w14:paraId="733D6758" w14:textId="77777777" w:rsidR="008964DA" w:rsidRPr="008964DA" w:rsidRDefault="008964DA" w:rsidP="008964DA">
      <w:pPr>
        <w:numPr>
          <w:ilvl w:val="0"/>
          <w:numId w:val="3"/>
        </w:numPr>
        <w:rPr>
          <w:rFonts w:ascii="Calibri" w:hAnsi="Calibri" w:cs="Calibri"/>
          <w:color w:val="FF0000"/>
        </w:rPr>
      </w:pPr>
      <w:r w:rsidRPr="008964DA">
        <w:rPr>
          <w:rFonts w:ascii="Calibri" w:hAnsi="Calibri" w:cs="Calibri"/>
          <w:color w:val="FF0000"/>
        </w:rPr>
        <w:t>Monthly Charges and Churn:</w:t>
      </w:r>
    </w:p>
    <w:p w14:paraId="15B28A3D" w14:textId="77777777" w:rsidR="008964DA" w:rsidRPr="008964DA" w:rsidRDefault="008964DA" w:rsidP="008964DA">
      <w:pPr>
        <w:numPr>
          <w:ilvl w:val="1"/>
          <w:numId w:val="3"/>
        </w:numPr>
        <w:rPr>
          <w:rFonts w:ascii="Calibri" w:hAnsi="Calibri" w:cs="Calibri"/>
        </w:rPr>
      </w:pPr>
      <w:r w:rsidRPr="008964DA">
        <w:rPr>
          <w:rFonts w:ascii="Calibri" w:hAnsi="Calibri" w:cs="Calibri"/>
        </w:rPr>
        <w:t>Customers who churn have a higher average monthly charge ($74.44) compared to those who stay ($61.27).</w:t>
      </w:r>
    </w:p>
    <w:p w14:paraId="17AA8D9C" w14:textId="77777777" w:rsidR="007C657A" w:rsidRDefault="007C657A" w:rsidP="008964DA">
      <w:pPr>
        <w:rPr>
          <w:rFonts w:ascii="Calibri" w:hAnsi="Calibri" w:cs="Calibri"/>
          <w:b/>
          <w:bCs/>
          <w:i/>
          <w:iCs/>
        </w:rPr>
      </w:pPr>
    </w:p>
    <w:p w14:paraId="062165B8" w14:textId="46609107" w:rsidR="007C657A" w:rsidRDefault="007C657A" w:rsidP="008964DA">
      <w:pPr>
        <w:rPr>
          <w:rFonts w:ascii="Calibri" w:hAnsi="Calibri" w:cs="Calibri"/>
          <w:b/>
          <w:bCs/>
          <w:i/>
          <w:iCs/>
        </w:rPr>
      </w:pPr>
      <w:r>
        <w:rPr>
          <w:rFonts w:ascii="Calibri" w:hAnsi="Calibri" w:cs="Calibri"/>
          <w:b/>
          <w:bCs/>
          <w:i/>
          <w:iCs/>
          <w:noProof/>
        </w:rPr>
        <w:lastRenderedPageBreak/>
        <w:drawing>
          <wp:inline distT="0" distB="0" distL="0" distR="0" wp14:anchorId="01A8A5AB" wp14:editId="68C81332">
            <wp:extent cx="5731510" cy="1744980"/>
            <wp:effectExtent l="0" t="0" r="0" b="0"/>
            <wp:docPr id="21007258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2587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44980"/>
                    </a:xfrm>
                    <a:prstGeom prst="rect">
                      <a:avLst/>
                    </a:prstGeom>
                  </pic:spPr>
                </pic:pic>
              </a:graphicData>
            </a:graphic>
          </wp:inline>
        </w:drawing>
      </w:r>
    </w:p>
    <w:p w14:paraId="7D6E15F5" w14:textId="05075A57" w:rsidR="008964DA" w:rsidRPr="008964DA" w:rsidRDefault="008964DA" w:rsidP="008964DA">
      <w:pPr>
        <w:rPr>
          <w:rFonts w:ascii="Calibri" w:hAnsi="Calibri" w:cs="Calibri"/>
          <w:b/>
          <w:bCs/>
          <w:i/>
          <w:iCs/>
        </w:rPr>
      </w:pPr>
      <w:r w:rsidRPr="008964DA">
        <w:rPr>
          <w:rFonts w:ascii="Calibri" w:hAnsi="Calibri" w:cs="Calibri"/>
          <w:b/>
          <w:bCs/>
          <w:i/>
          <w:iCs/>
        </w:rPr>
        <w:t>Insight: Higher charges correlate with higher churn rates, suggesting that customers may be sensitive to pricing. Offering discounts or value-added services could help retain high-paying customers.</w:t>
      </w:r>
    </w:p>
    <w:p w14:paraId="034D4301" w14:textId="77777777" w:rsidR="008964DA" w:rsidRPr="008964DA" w:rsidRDefault="008964DA" w:rsidP="008964DA">
      <w:pPr>
        <w:numPr>
          <w:ilvl w:val="0"/>
          <w:numId w:val="3"/>
        </w:numPr>
        <w:rPr>
          <w:rFonts w:ascii="Calibri" w:hAnsi="Calibri" w:cs="Calibri"/>
          <w:color w:val="FF0000"/>
        </w:rPr>
      </w:pPr>
      <w:r w:rsidRPr="008964DA">
        <w:rPr>
          <w:rFonts w:ascii="Calibri" w:hAnsi="Calibri" w:cs="Calibri"/>
          <w:color w:val="FF0000"/>
        </w:rPr>
        <w:t>Retention by Tenure Bucket:</w:t>
      </w:r>
    </w:p>
    <w:p w14:paraId="46103F86" w14:textId="77777777" w:rsidR="008964DA" w:rsidRPr="008964DA" w:rsidRDefault="008964DA" w:rsidP="008964DA">
      <w:pPr>
        <w:numPr>
          <w:ilvl w:val="1"/>
          <w:numId w:val="3"/>
        </w:numPr>
        <w:rPr>
          <w:rFonts w:ascii="Calibri" w:hAnsi="Calibri" w:cs="Calibri"/>
        </w:rPr>
      </w:pPr>
      <w:r w:rsidRPr="008964DA">
        <w:rPr>
          <w:rFonts w:ascii="Calibri" w:hAnsi="Calibri" w:cs="Calibri"/>
        </w:rPr>
        <w:t>1-12 months: 52.32% retention, indicating high churn risk for new customers.</w:t>
      </w:r>
    </w:p>
    <w:p w14:paraId="7861E06E" w14:textId="77777777" w:rsidR="008964DA" w:rsidRPr="008964DA" w:rsidRDefault="008964DA" w:rsidP="008964DA">
      <w:pPr>
        <w:numPr>
          <w:ilvl w:val="1"/>
          <w:numId w:val="3"/>
        </w:numPr>
        <w:rPr>
          <w:rFonts w:ascii="Calibri" w:hAnsi="Calibri" w:cs="Calibri"/>
        </w:rPr>
      </w:pPr>
      <w:r w:rsidRPr="008964DA">
        <w:rPr>
          <w:rFonts w:ascii="Calibri" w:hAnsi="Calibri" w:cs="Calibri"/>
        </w:rPr>
        <w:t>13-24 months: Retention improves to 71.29%.</w:t>
      </w:r>
    </w:p>
    <w:p w14:paraId="5DEBCA41" w14:textId="77777777" w:rsidR="008964DA" w:rsidRDefault="008964DA" w:rsidP="008964DA">
      <w:pPr>
        <w:numPr>
          <w:ilvl w:val="1"/>
          <w:numId w:val="3"/>
        </w:numPr>
        <w:rPr>
          <w:rFonts w:ascii="Calibri" w:hAnsi="Calibri" w:cs="Calibri"/>
        </w:rPr>
      </w:pPr>
      <w:r w:rsidRPr="008964DA">
        <w:rPr>
          <w:rFonts w:ascii="Calibri" w:hAnsi="Calibri" w:cs="Calibri"/>
        </w:rPr>
        <w:t>60+ months: 93.44% retention, showing strong loyalty among long-term customers.</w:t>
      </w:r>
    </w:p>
    <w:p w14:paraId="3C6B924E" w14:textId="2FA192AE" w:rsidR="007C657A" w:rsidRPr="008964DA" w:rsidRDefault="007C657A" w:rsidP="007C657A">
      <w:pPr>
        <w:rPr>
          <w:rFonts w:ascii="Calibri" w:hAnsi="Calibri" w:cs="Calibri"/>
        </w:rPr>
      </w:pPr>
      <w:r>
        <w:rPr>
          <w:rFonts w:ascii="Calibri" w:hAnsi="Calibri" w:cs="Calibri"/>
          <w:noProof/>
        </w:rPr>
        <w:drawing>
          <wp:inline distT="0" distB="0" distL="0" distR="0" wp14:anchorId="6484F4F3" wp14:editId="4505B431">
            <wp:extent cx="5731510" cy="3202940"/>
            <wp:effectExtent l="0" t="0" r="0" b="0"/>
            <wp:docPr id="2155035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03551"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202940"/>
                    </a:xfrm>
                    <a:prstGeom prst="rect">
                      <a:avLst/>
                    </a:prstGeom>
                  </pic:spPr>
                </pic:pic>
              </a:graphicData>
            </a:graphic>
          </wp:inline>
        </w:drawing>
      </w:r>
    </w:p>
    <w:p w14:paraId="39BB07D7" w14:textId="77777777" w:rsidR="008964DA" w:rsidRPr="008964DA" w:rsidRDefault="008964DA" w:rsidP="008964DA">
      <w:pPr>
        <w:rPr>
          <w:rFonts w:ascii="Calibri" w:hAnsi="Calibri" w:cs="Calibri"/>
          <w:b/>
          <w:bCs/>
          <w:i/>
          <w:iCs/>
        </w:rPr>
      </w:pPr>
      <w:r w:rsidRPr="008964DA">
        <w:rPr>
          <w:rFonts w:ascii="Calibri" w:hAnsi="Calibri" w:cs="Calibri"/>
          <w:b/>
          <w:bCs/>
          <w:i/>
          <w:iCs/>
        </w:rPr>
        <w:t>Insight: The first year is a critical period for customer retention. Retention efforts should be intensified for new customers to increase their likelihood of staying longer.</w:t>
      </w:r>
    </w:p>
    <w:p w14:paraId="57288FFB" w14:textId="77777777" w:rsidR="008964DA" w:rsidRPr="008964DA" w:rsidRDefault="008964DA" w:rsidP="008964DA">
      <w:pPr>
        <w:numPr>
          <w:ilvl w:val="0"/>
          <w:numId w:val="3"/>
        </w:numPr>
        <w:rPr>
          <w:rFonts w:ascii="Calibri" w:hAnsi="Calibri" w:cs="Calibri"/>
          <w:color w:val="FF0000"/>
        </w:rPr>
      </w:pPr>
      <w:r w:rsidRPr="008964DA">
        <w:rPr>
          <w:rFonts w:ascii="Calibri" w:hAnsi="Calibri" w:cs="Calibri"/>
          <w:color w:val="FF0000"/>
        </w:rPr>
        <w:t>Retention Analysis by Senior Citizen Status:</w:t>
      </w:r>
    </w:p>
    <w:p w14:paraId="4A2877F5" w14:textId="77777777" w:rsidR="008964DA" w:rsidRPr="008964DA" w:rsidRDefault="008964DA" w:rsidP="008964DA">
      <w:pPr>
        <w:numPr>
          <w:ilvl w:val="1"/>
          <w:numId w:val="3"/>
        </w:numPr>
        <w:rPr>
          <w:rFonts w:ascii="Calibri" w:hAnsi="Calibri" w:cs="Calibri"/>
        </w:rPr>
      </w:pPr>
      <w:r w:rsidRPr="008964DA">
        <w:rPr>
          <w:rFonts w:ascii="Calibri" w:hAnsi="Calibri" w:cs="Calibri"/>
        </w:rPr>
        <w:t>Senior Customers: Show lower retention rates across most tenure buckets, especially within the first 12 months.</w:t>
      </w:r>
    </w:p>
    <w:p w14:paraId="0D8EE1CD" w14:textId="77777777" w:rsidR="008964DA" w:rsidRDefault="008964DA" w:rsidP="008964DA">
      <w:pPr>
        <w:numPr>
          <w:ilvl w:val="1"/>
          <w:numId w:val="3"/>
        </w:numPr>
        <w:rPr>
          <w:rFonts w:ascii="Calibri" w:hAnsi="Calibri" w:cs="Calibri"/>
        </w:rPr>
      </w:pPr>
      <w:r w:rsidRPr="008964DA">
        <w:rPr>
          <w:rFonts w:ascii="Calibri" w:hAnsi="Calibri" w:cs="Calibri"/>
        </w:rPr>
        <w:lastRenderedPageBreak/>
        <w:t>Non-Senior Customers: Generally have higher retention across tenure periods.</w:t>
      </w:r>
    </w:p>
    <w:p w14:paraId="2278F943" w14:textId="0930A45E" w:rsidR="007C657A" w:rsidRPr="008964DA" w:rsidRDefault="007C657A" w:rsidP="007C657A">
      <w:pPr>
        <w:rPr>
          <w:rFonts w:ascii="Calibri" w:hAnsi="Calibri" w:cs="Calibri"/>
        </w:rPr>
      </w:pPr>
      <w:r>
        <w:rPr>
          <w:rFonts w:ascii="Calibri" w:hAnsi="Calibri" w:cs="Calibri"/>
          <w:noProof/>
        </w:rPr>
        <w:drawing>
          <wp:inline distT="0" distB="0" distL="0" distR="0" wp14:anchorId="2A1E5DB3" wp14:editId="1410ED07">
            <wp:extent cx="5731510" cy="5021580"/>
            <wp:effectExtent l="0" t="0" r="0" b="0"/>
            <wp:docPr id="141560392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03927"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021580"/>
                    </a:xfrm>
                    <a:prstGeom prst="rect">
                      <a:avLst/>
                    </a:prstGeom>
                  </pic:spPr>
                </pic:pic>
              </a:graphicData>
            </a:graphic>
          </wp:inline>
        </w:drawing>
      </w:r>
    </w:p>
    <w:p w14:paraId="3D792940" w14:textId="77777777" w:rsidR="008964DA" w:rsidRPr="008964DA" w:rsidRDefault="008964DA" w:rsidP="008964DA">
      <w:pPr>
        <w:rPr>
          <w:rFonts w:ascii="Calibri" w:hAnsi="Calibri" w:cs="Calibri"/>
          <w:b/>
          <w:bCs/>
          <w:i/>
          <w:iCs/>
        </w:rPr>
      </w:pPr>
      <w:r w:rsidRPr="008964DA">
        <w:rPr>
          <w:rFonts w:ascii="Calibri" w:hAnsi="Calibri" w:cs="Calibri"/>
          <w:b/>
          <w:bCs/>
          <w:i/>
          <w:iCs/>
        </w:rPr>
        <w:t>Insight: Senior customers may need targeted onboarding and engagement, especially in the first year, to reduce early-stage churn.</w:t>
      </w:r>
    </w:p>
    <w:p w14:paraId="6C30436E" w14:textId="77777777" w:rsidR="008964DA" w:rsidRPr="008964DA" w:rsidRDefault="008964DA" w:rsidP="008964DA">
      <w:pPr>
        <w:rPr>
          <w:rFonts w:ascii="Calibri" w:hAnsi="Calibri" w:cs="Calibri"/>
        </w:rPr>
      </w:pPr>
      <w:r w:rsidRPr="008964DA">
        <w:rPr>
          <w:rFonts w:ascii="Calibri" w:hAnsi="Calibri" w:cs="Calibri"/>
          <w:noProof/>
        </w:rPr>
      </w:r>
      <w:r w:rsidR="008964DA" w:rsidRPr="008964DA">
        <w:rPr>
          <w:rFonts w:ascii="Calibri" w:hAnsi="Calibri" w:cs="Calibri"/>
          <w:noProof/>
        </w:rPr>
        <w:pict w14:anchorId="0AABC544">
          <v:rect id="_x0000_i1049" alt="" style="width:451.3pt;height:.05pt;mso-width-percent:0;mso-height-percent:0;mso-width-percent:0;mso-height-percent:0" o:hralign="center" o:hrstd="t" o:hr="t" fillcolor="#a0a0a0" stroked="f"/>
        </w:pict>
      </w:r>
    </w:p>
    <w:p w14:paraId="1297C23C" w14:textId="77777777" w:rsidR="008964DA" w:rsidRPr="008964DA" w:rsidRDefault="008964DA" w:rsidP="008964DA">
      <w:pPr>
        <w:rPr>
          <w:rFonts w:ascii="Calibri" w:hAnsi="Calibri" w:cs="Calibri"/>
          <w:b/>
          <w:bCs/>
        </w:rPr>
      </w:pPr>
      <w:r w:rsidRPr="008964DA">
        <w:rPr>
          <w:rFonts w:ascii="Calibri" w:hAnsi="Calibri" w:cs="Calibri"/>
          <w:b/>
          <w:bCs/>
        </w:rPr>
        <w:t>Recommendations</w:t>
      </w:r>
    </w:p>
    <w:p w14:paraId="6303213B" w14:textId="77777777" w:rsidR="008964DA" w:rsidRPr="008964DA" w:rsidRDefault="008964DA" w:rsidP="008964DA">
      <w:pPr>
        <w:numPr>
          <w:ilvl w:val="0"/>
          <w:numId w:val="4"/>
        </w:numPr>
        <w:rPr>
          <w:rFonts w:ascii="Calibri" w:hAnsi="Calibri" w:cs="Calibri"/>
        </w:rPr>
      </w:pPr>
      <w:r w:rsidRPr="008964DA">
        <w:rPr>
          <w:rFonts w:ascii="Calibri" w:hAnsi="Calibri" w:cs="Calibri"/>
        </w:rPr>
        <w:t>Engage New Customers: Focus on improving retention in the first 12 months through onboarding programs, targeted offers, and personalized engagement.</w:t>
      </w:r>
    </w:p>
    <w:p w14:paraId="0A1EBF6F" w14:textId="77777777" w:rsidR="008964DA" w:rsidRPr="008964DA" w:rsidRDefault="008964DA" w:rsidP="008964DA">
      <w:pPr>
        <w:numPr>
          <w:ilvl w:val="0"/>
          <w:numId w:val="4"/>
        </w:numPr>
        <w:rPr>
          <w:rFonts w:ascii="Calibri" w:hAnsi="Calibri" w:cs="Calibri"/>
        </w:rPr>
      </w:pPr>
      <w:r w:rsidRPr="008964DA">
        <w:rPr>
          <w:rFonts w:ascii="Calibri" w:hAnsi="Calibri" w:cs="Calibri"/>
        </w:rPr>
        <w:t>Address Pricing Sensitivity: Consider tiered pricing, discounts, or added benefits for high-paying customers to reduce churn due to monthly charges.</w:t>
      </w:r>
    </w:p>
    <w:p w14:paraId="58A2C77C" w14:textId="77777777" w:rsidR="008964DA" w:rsidRPr="008964DA" w:rsidRDefault="008964DA" w:rsidP="008964DA">
      <w:pPr>
        <w:numPr>
          <w:ilvl w:val="0"/>
          <w:numId w:val="4"/>
        </w:numPr>
        <w:rPr>
          <w:rFonts w:ascii="Calibri" w:hAnsi="Calibri" w:cs="Calibri"/>
        </w:rPr>
      </w:pPr>
      <w:r w:rsidRPr="008964DA">
        <w:rPr>
          <w:rFonts w:ascii="Calibri" w:hAnsi="Calibri" w:cs="Calibri"/>
        </w:rPr>
        <w:t>Target Month-to-Month Customers: Implement loyalty incentives, such as discounts for switching to longer-term contracts, to reduce churn among flexible contract holders.</w:t>
      </w:r>
    </w:p>
    <w:p w14:paraId="77CBC8CB" w14:textId="77777777" w:rsidR="008964DA" w:rsidRPr="008964DA" w:rsidRDefault="008964DA" w:rsidP="008964DA">
      <w:pPr>
        <w:numPr>
          <w:ilvl w:val="0"/>
          <w:numId w:val="4"/>
        </w:numPr>
        <w:rPr>
          <w:rFonts w:ascii="Calibri" w:hAnsi="Calibri" w:cs="Calibri"/>
        </w:rPr>
      </w:pPr>
      <w:r w:rsidRPr="008964DA">
        <w:rPr>
          <w:rFonts w:ascii="Calibri" w:hAnsi="Calibri" w:cs="Calibri"/>
        </w:rPr>
        <w:lastRenderedPageBreak/>
        <w:t>Improve Fiber Optic Service Satisfaction: Investigate potential issues with fiber optic service, as this group shows a higher churn rate.</w:t>
      </w:r>
    </w:p>
    <w:p w14:paraId="5FE31166" w14:textId="77777777" w:rsidR="008964DA" w:rsidRPr="008964DA" w:rsidRDefault="008964DA" w:rsidP="008964DA">
      <w:pPr>
        <w:numPr>
          <w:ilvl w:val="0"/>
          <w:numId w:val="4"/>
        </w:numPr>
        <w:rPr>
          <w:rFonts w:ascii="Calibri" w:hAnsi="Calibri" w:cs="Calibri"/>
        </w:rPr>
      </w:pPr>
      <w:r w:rsidRPr="008964DA">
        <w:rPr>
          <w:rFonts w:ascii="Calibri" w:hAnsi="Calibri" w:cs="Calibri"/>
        </w:rPr>
        <w:t>Support Senior Customers: Provide additional engagement and support for senior customers, especially during the first year, to build long-term loyalty.</w:t>
      </w:r>
    </w:p>
    <w:p w14:paraId="0C87AFFA" w14:textId="465812D8" w:rsidR="00BA3DB6" w:rsidRDefault="008964DA" w:rsidP="00A2270E">
      <w:pPr>
        <w:rPr>
          <w:rFonts w:ascii="Calibri" w:hAnsi="Calibri" w:cs="Calibri"/>
        </w:rPr>
      </w:pPr>
      <w:r w:rsidRPr="008964DA">
        <w:rPr>
          <w:rFonts w:ascii="Calibri" w:hAnsi="Calibri" w:cs="Calibri"/>
          <w:noProof/>
        </w:rPr>
      </w:r>
      <w:r w:rsidR="008964DA" w:rsidRPr="008964DA">
        <w:rPr>
          <w:rFonts w:ascii="Calibri" w:hAnsi="Calibri" w:cs="Calibri"/>
          <w:noProof/>
        </w:rPr>
        <w:pict w14:anchorId="7ABB6C56">
          <v:rect id="_x0000_i1050" alt="" style="width:451.3pt;height:.05pt;mso-width-percent:0;mso-height-percent:0;mso-width-percent:0;mso-height-percent:0" o:hralign="center" o:hrstd="t" o:hr="t" fillcolor="#a0a0a0" stroked="f"/>
        </w:pict>
      </w:r>
    </w:p>
    <w:p w14:paraId="02C478B9" w14:textId="77777777" w:rsidR="00BA3DB6" w:rsidRPr="008964DA" w:rsidRDefault="00BA3DB6" w:rsidP="00A2270E">
      <w:pPr>
        <w:rPr>
          <w:rFonts w:ascii="Calibri" w:hAnsi="Calibri" w:cs="Calibri"/>
        </w:rPr>
      </w:pPr>
    </w:p>
    <w:sectPr w:rsidR="00BA3DB6" w:rsidRPr="00896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1AC5"/>
    <w:multiLevelType w:val="multilevel"/>
    <w:tmpl w:val="887C7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788E"/>
    <w:multiLevelType w:val="multilevel"/>
    <w:tmpl w:val="7F3E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95783"/>
    <w:multiLevelType w:val="multilevel"/>
    <w:tmpl w:val="E4E0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030FF"/>
    <w:multiLevelType w:val="multilevel"/>
    <w:tmpl w:val="C33A2EA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 w15:restartNumberingAfterBreak="0">
    <w:nsid w:val="3B9F146C"/>
    <w:multiLevelType w:val="multilevel"/>
    <w:tmpl w:val="55DE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7782B"/>
    <w:multiLevelType w:val="multilevel"/>
    <w:tmpl w:val="BBAAE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777852">
    <w:abstractNumId w:val="1"/>
  </w:num>
  <w:num w:numId="2" w16cid:durableId="466750070">
    <w:abstractNumId w:val="3"/>
  </w:num>
  <w:num w:numId="3" w16cid:durableId="225145207">
    <w:abstractNumId w:val="0"/>
  </w:num>
  <w:num w:numId="4" w16cid:durableId="617612414">
    <w:abstractNumId w:val="4"/>
  </w:num>
  <w:num w:numId="5" w16cid:durableId="1116681175">
    <w:abstractNumId w:val="2"/>
  </w:num>
  <w:num w:numId="6" w16cid:durableId="744843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0E"/>
    <w:rsid w:val="007C657A"/>
    <w:rsid w:val="008964DA"/>
    <w:rsid w:val="00A2270E"/>
    <w:rsid w:val="00A4369C"/>
    <w:rsid w:val="00BA3DB6"/>
    <w:rsid w:val="00C20044"/>
    <w:rsid w:val="00E3635A"/>
    <w:rsid w:val="00F4158A"/>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5147"/>
  <w15:chartTrackingRefBased/>
  <w15:docId w15:val="{1332C015-4D49-E844-B3E4-20E9F472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70E"/>
    <w:rPr>
      <w:rFonts w:eastAsiaTheme="majorEastAsia" w:cstheme="majorBidi"/>
      <w:color w:val="272727" w:themeColor="text1" w:themeTint="D8"/>
    </w:rPr>
  </w:style>
  <w:style w:type="paragraph" w:styleId="Title">
    <w:name w:val="Title"/>
    <w:basedOn w:val="Normal"/>
    <w:next w:val="Normal"/>
    <w:link w:val="TitleChar"/>
    <w:uiPriority w:val="10"/>
    <w:qFormat/>
    <w:rsid w:val="00A22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70E"/>
    <w:pPr>
      <w:spacing w:before="160"/>
      <w:jc w:val="center"/>
    </w:pPr>
    <w:rPr>
      <w:i/>
      <w:iCs/>
      <w:color w:val="404040" w:themeColor="text1" w:themeTint="BF"/>
    </w:rPr>
  </w:style>
  <w:style w:type="character" w:customStyle="1" w:styleId="QuoteChar">
    <w:name w:val="Quote Char"/>
    <w:basedOn w:val="DefaultParagraphFont"/>
    <w:link w:val="Quote"/>
    <w:uiPriority w:val="29"/>
    <w:rsid w:val="00A2270E"/>
    <w:rPr>
      <w:i/>
      <w:iCs/>
      <w:color w:val="404040" w:themeColor="text1" w:themeTint="BF"/>
    </w:rPr>
  </w:style>
  <w:style w:type="paragraph" w:styleId="ListParagraph">
    <w:name w:val="List Paragraph"/>
    <w:basedOn w:val="Normal"/>
    <w:uiPriority w:val="34"/>
    <w:qFormat/>
    <w:rsid w:val="00A2270E"/>
    <w:pPr>
      <w:ind w:left="720"/>
      <w:contextualSpacing/>
    </w:pPr>
  </w:style>
  <w:style w:type="character" w:styleId="IntenseEmphasis">
    <w:name w:val="Intense Emphasis"/>
    <w:basedOn w:val="DefaultParagraphFont"/>
    <w:uiPriority w:val="21"/>
    <w:qFormat/>
    <w:rsid w:val="00A2270E"/>
    <w:rPr>
      <w:i/>
      <w:iCs/>
      <w:color w:val="0F4761" w:themeColor="accent1" w:themeShade="BF"/>
    </w:rPr>
  </w:style>
  <w:style w:type="paragraph" w:styleId="IntenseQuote">
    <w:name w:val="Intense Quote"/>
    <w:basedOn w:val="Normal"/>
    <w:next w:val="Normal"/>
    <w:link w:val="IntenseQuoteChar"/>
    <w:uiPriority w:val="30"/>
    <w:qFormat/>
    <w:rsid w:val="00A22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70E"/>
    <w:rPr>
      <w:i/>
      <w:iCs/>
      <w:color w:val="0F4761" w:themeColor="accent1" w:themeShade="BF"/>
    </w:rPr>
  </w:style>
  <w:style w:type="character" w:styleId="IntenseReference">
    <w:name w:val="Intense Reference"/>
    <w:basedOn w:val="DefaultParagraphFont"/>
    <w:uiPriority w:val="32"/>
    <w:qFormat/>
    <w:rsid w:val="00A2270E"/>
    <w:rPr>
      <w:b/>
      <w:bCs/>
      <w:smallCaps/>
      <w:color w:val="0F4761" w:themeColor="accent1" w:themeShade="BF"/>
      <w:spacing w:val="5"/>
    </w:rPr>
  </w:style>
  <w:style w:type="character" w:styleId="Hyperlink">
    <w:name w:val="Hyperlink"/>
    <w:basedOn w:val="DefaultParagraphFont"/>
    <w:uiPriority w:val="99"/>
    <w:unhideWhenUsed/>
    <w:rsid w:val="00C20044"/>
    <w:rPr>
      <w:color w:val="467886" w:themeColor="hyperlink"/>
      <w:u w:val="single"/>
    </w:rPr>
  </w:style>
  <w:style w:type="character" w:styleId="UnresolvedMention">
    <w:name w:val="Unresolved Mention"/>
    <w:basedOn w:val="DefaultParagraphFont"/>
    <w:uiPriority w:val="99"/>
    <w:semiHidden/>
    <w:unhideWhenUsed/>
    <w:rsid w:val="00C2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7765">
      <w:bodyDiv w:val="1"/>
      <w:marLeft w:val="0"/>
      <w:marRight w:val="0"/>
      <w:marTop w:val="0"/>
      <w:marBottom w:val="0"/>
      <w:divBdr>
        <w:top w:val="none" w:sz="0" w:space="0" w:color="auto"/>
        <w:left w:val="none" w:sz="0" w:space="0" w:color="auto"/>
        <w:bottom w:val="none" w:sz="0" w:space="0" w:color="auto"/>
        <w:right w:val="none" w:sz="0" w:space="0" w:color="auto"/>
      </w:divBdr>
    </w:div>
    <w:div w:id="589507770">
      <w:bodyDiv w:val="1"/>
      <w:marLeft w:val="0"/>
      <w:marRight w:val="0"/>
      <w:marTop w:val="0"/>
      <w:marBottom w:val="0"/>
      <w:divBdr>
        <w:top w:val="none" w:sz="0" w:space="0" w:color="auto"/>
        <w:left w:val="none" w:sz="0" w:space="0" w:color="auto"/>
        <w:bottom w:val="none" w:sz="0" w:space="0" w:color="auto"/>
        <w:right w:val="none" w:sz="0" w:space="0" w:color="auto"/>
      </w:divBdr>
    </w:div>
    <w:div w:id="621308700">
      <w:bodyDiv w:val="1"/>
      <w:marLeft w:val="0"/>
      <w:marRight w:val="0"/>
      <w:marTop w:val="0"/>
      <w:marBottom w:val="0"/>
      <w:divBdr>
        <w:top w:val="none" w:sz="0" w:space="0" w:color="auto"/>
        <w:left w:val="none" w:sz="0" w:space="0" w:color="auto"/>
        <w:bottom w:val="none" w:sz="0" w:space="0" w:color="auto"/>
        <w:right w:val="none" w:sz="0" w:space="0" w:color="auto"/>
      </w:divBdr>
    </w:div>
    <w:div w:id="892274352">
      <w:bodyDiv w:val="1"/>
      <w:marLeft w:val="0"/>
      <w:marRight w:val="0"/>
      <w:marTop w:val="0"/>
      <w:marBottom w:val="0"/>
      <w:divBdr>
        <w:top w:val="none" w:sz="0" w:space="0" w:color="auto"/>
        <w:left w:val="none" w:sz="0" w:space="0" w:color="auto"/>
        <w:bottom w:val="none" w:sz="0" w:space="0" w:color="auto"/>
        <w:right w:val="none" w:sz="0" w:space="0" w:color="auto"/>
      </w:divBdr>
    </w:div>
    <w:div w:id="973876044">
      <w:bodyDiv w:val="1"/>
      <w:marLeft w:val="0"/>
      <w:marRight w:val="0"/>
      <w:marTop w:val="0"/>
      <w:marBottom w:val="0"/>
      <w:divBdr>
        <w:top w:val="none" w:sz="0" w:space="0" w:color="auto"/>
        <w:left w:val="none" w:sz="0" w:space="0" w:color="auto"/>
        <w:bottom w:val="none" w:sz="0" w:space="0" w:color="auto"/>
        <w:right w:val="none" w:sz="0" w:space="0" w:color="auto"/>
      </w:divBdr>
    </w:div>
    <w:div w:id="1001543671">
      <w:bodyDiv w:val="1"/>
      <w:marLeft w:val="0"/>
      <w:marRight w:val="0"/>
      <w:marTop w:val="0"/>
      <w:marBottom w:val="0"/>
      <w:divBdr>
        <w:top w:val="none" w:sz="0" w:space="0" w:color="auto"/>
        <w:left w:val="none" w:sz="0" w:space="0" w:color="auto"/>
        <w:bottom w:val="none" w:sz="0" w:space="0" w:color="auto"/>
        <w:right w:val="none" w:sz="0" w:space="0" w:color="auto"/>
      </w:divBdr>
    </w:div>
    <w:div w:id="1030646245">
      <w:bodyDiv w:val="1"/>
      <w:marLeft w:val="0"/>
      <w:marRight w:val="0"/>
      <w:marTop w:val="0"/>
      <w:marBottom w:val="0"/>
      <w:divBdr>
        <w:top w:val="none" w:sz="0" w:space="0" w:color="auto"/>
        <w:left w:val="none" w:sz="0" w:space="0" w:color="auto"/>
        <w:bottom w:val="none" w:sz="0" w:space="0" w:color="auto"/>
        <w:right w:val="none" w:sz="0" w:space="0" w:color="auto"/>
      </w:divBdr>
    </w:div>
    <w:div w:id="1080638684">
      <w:bodyDiv w:val="1"/>
      <w:marLeft w:val="0"/>
      <w:marRight w:val="0"/>
      <w:marTop w:val="0"/>
      <w:marBottom w:val="0"/>
      <w:divBdr>
        <w:top w:val="none" w:sz="0" w:space="0" w:color="auto"/>
        <w:left w:val="none" w:sz="0" w:space="0" w:color="auto"/>
        <w:bottom w:val="none" w:sz="0" w:space="0" w:color="auto"/>
        <w:right w:val="none" w:sz="0" w:space="0" w:color="auto"/>
      </w:divBdr>
    </w:div>
    <w:div w:id="1137840703">
      <w:bodyDiv w:val="1"/>
      <w:marLeft w:val="0"/>
      <w:marRight w:val="0"/>
      <w:marTop w:val="0"/>
      <w:marBottom w:val="0"/>
      <w:divBdr>
        <w:top w:val="none" w:sz="0" w:space="0" w:color="auto"/>
        <w:left w:val="none" w:sz="0" w:space="0" w:color="auto"/>
        <w:bottom w:val="none" w:sz="0" w:space="0" w:color="auto"/>
        <w:right w:val="none" w:sz="0" w:space="0" w:color="auto"/>
      </w:divBdr>
    </w:div>
    <w:div w:id="1539393596">
      <w:bodyDiv w:val="1"/>
      <w:marLeft w:val="0"/>
      <w:marRight w:val="0"/>
      <w:marTop w:val="0"/>
      <w:marBottom w:val="0"/>
      <w:divBdr>
        <w:top w:val="none" w:sz="0" w:space="0" w:color="auto"/>
        <w:left w:val="none" w:sz="0" w:space="0" w:color="auto"/>
        <w:bottom w:val="none" w:sz="0" w:space="0" w:color="auto"/>
        <w:right w:val="none" w:sz="0" w:space="0" w:color="auto"/>
      </w:divBdr>
    </w:div>
    <w:div w:id="1672758671">
      <w:bodyDiv w:val="1"/>
      <w:marLeft w:val="0"/>
      <w:marRight w:val="0"/>
      <w:marTop w:val="0"/>
      <w:marBottom w:val="0"/>
      <w:divBdr>
        <w:top w:val="none" w:sz="0" w:space="0" w:color="auto"/>
        <w:left w:val="none" w:sz="0" w:space="0" w:color="auto"/>
        <w:bottom w:val="none" w:sz="0" w:space="0" w:color="auto"/>
        <w:right w:val="none" w:sz="0" w:space="0" w:color="auto"/>
      </w:divBdr>
    </w:div>
    <w:div w:id="1744329202">
      <w:bodyDiv w:val="1"/>
      <w:marLeft w:val="0"/>
      <w:marRight w:val="0"/>
      <w:marTop w:val="0"/>
      <w:marBottom w:val="0"/>
      <w:divBdr>
        <w:top w:val="none" w:sz="0" w:space="0" w:color="auto"/>
        <w:left w:val="none" w:sz="0" w:space="0" w:color="auto"/>
        <w:bottom w:val="none" w:sz="0" w:space="0" w:color="auto"/>
        <w:right w:val="none" w:sz="0" w:space="0" w:color="auto"/>
      </w:divBdr>
    </w:div>
    <w:div w:id="1772239089">
      <w:bodyDiv w:val="1"/>
      <w:marLeft w:val="0"/>
      <w:marRight w:val="0"/>
      <w:marTop w:val="0"/>
      <w:marBottom w:val="0"/>
      <w:divBdr>
        <w:top w:val="none" w:sz="0" w:space="0" w:color="auto"/>
        <w:left w:val="none" w:sz="0" w:space="0" w:color="auto"/>
        <w:bottom w:val="none" w:sz="0" w:space="0" w:color="auto"/>
        <w:right w:val="none" w:sz="0" w:space="0" w:color="auto"/>
      </w:divBdr>
    </w:div>
    <w:div w:id="20814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lastchar/telco-customer-chur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71499-BC55-1348-8A8B-F7B26122C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Okoduwa</dc:creator>
  <cp:keywords/>
  <dc:description/>
  <cp:lastModifiedBy>Rachel Okoduwa</cp:lastModifiedBy>
  <cp:revision>2</cp:revision>
  <dcterms:created xsi:type="dcterms:W3CDTF">2024-11-04T18:30:00Z</dcterms:created>
  <dcterms:modified xsi:type="dcterms:W3CDTF">2024-11-04T18:30:00Z</dcterms:modified>
</cp:coreProperties>
</file>