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formatisation-de-la-bourse-de-paris"/>
      <w:bookmarkEnd w:id="21"/>
      <w:r>
        <w:t xml:space="preserve">Informatisation de la Bourse de Paris</w:t>
      </w:r>
    </w:p>
    <w:p>
      <w:pPr>
        <w:pStyle w:val="Heading2"/>
      </w:pPr>
      <w:bookmarkStart w:id="22" w:name="chronologie"/>
      <w:bookmarkEnd w:id="22"/>
      <w:r>
        <w:t xml:space="preserve">Chronologie</w:t>
      </w:r>
    </w:p>
    <w:p>
      <w:pPr>
        <w:pStyle w:val="Compact"/>
        <w:numPr>
          <w:numId w:val="1001"/>
          <w:ilvl w:val="0"/>
        </w:numPr>
      </w:pPr>
      <w:r>
        <w:t xml:space="preserve">1304 : Ordonnance de Philippe le Bel concernant les</w:t>
      </w:r>
      <w:r>
        <w:t xml:space="preserve"> </w:t>
      </w:r>
      <w:r>
        <w:rPr>
          <w:i/>
        </w:rPr>
        <w:t xml:space="preserve">courretiers de change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Compact"/>
        <w:numPr>
          <w:numId w:val="1001"/>
          <w:ilvl w:val="0"/>
        </w:numPr>
      </w:pPr>
      <w:r>
        <w:t xml:space="preserve">1572 : Edit du Roi Charles IX pour la création des</w:t>
      </w:r>
      <w:r>
        <w:t xml:space="preserve"> </w:t>
      </w:r>
      <w:r>
        <w:rPr>
          <w:i/>
        </w:rPr>
        <w:t xml:space="preserve">courretiers de change, deniers et marchandises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Compact"/>
        <w:numPr>
          <w:numId w:val="1001"/>
          <w:ilvl w:val="0"/>
        </w:numPr>
      </w:pPr>
      <w:r>
        <w:t xml:space="preserve">1639 : Création de la première</w:t>
      </w:r>
      <w:r>
        <w:t xml:space="preserve"> </w:t>
      </w:r>
      <w:r>
        <w:rPr>
          <w:i/>
        </w:rPr>
        <w:t xml:space="preserve">bourse de commerce</w:t>
      </w:r>
      <w:r>
        <w:t xml:space="preserve"> </w:t>
      </w:r>
      <w:r>
        <w:t xml:space="preserve">à Paris</w:t>
      </w:r>
      <w:r>
        <w:t xml:space="preserve"> </w:t>
      </w:r>
      <w:r>
        <w:rPr>
          <w:rStyle w:val="FootnoteReference"/>
        </w:rPr>
        <w:footnoteReference w:id="26"/>
      </w:r>
    </w:p>
    <w:p>
      <w:pPr>
        <w:pStyle w:val="Compact"/>
        <w:numPr>
          <w:numId w:val="1001"/>
          <w:ilvl w:val="0"/>
        </w:numPr>
      </w:pPr>
      <w:r>
        <w:t xml:space="preserve">1716 : L’économiste</w:t>
      </w:r>
      <w:r>
        <w:t xml:space="preserve"> </w:t>
      </w:r>
      <w:r>
        <w:rPr>
          <w:i/>
        </w:rPr>
        <w:t xml:space="preserve">John Law</w:t>
      </w:r>
      <w:r>
        <w:t xml:space="preserve"> </w:t>
      </w:r>
      <w:r>
        <w:t xml:space="preserve">est nommé</w:t>
      </w:r>
      <w:r>
        <w:t xml:space="preserve"> </w:t>
      </w:r>
      <w:r>
        <w:rPr>
          <w:i/>
        </w:rPr>
        <w:t xml:space="preserve">Contrôleur Général des Finances</w:t>
      </w:r>
      <w:r>
        <w:t xml:space="preserve"> </w:t>
      </w:r>
      <w:r>
        <w:t xml:space="preserve">par le duc</w:t>
      </w:r>
      <w:r>
        <w:t xml:space="preserve"> </w:t>
      </w:r>
      <w:r>
        <w:rPr>
          <w:i/>
        </w:rPr>
        <w:t xml:space="preserve">Philippe d’Orléans</w:t>
      </w:r>
      <w:r>
        <w:t xml:space="preserve"> </w:t>
      </w:r>
      <w:r>
        <w:t xml:space="preserve">et crée une banque privée émettant du papier-monnaie</w:t>
      </w:r>
      <w:r>
        <w:t xml:space="preserve"> </w:t>
      </w:r>
      <w:r>
        <w:rPr>
          <w:rStyle w:val="FootnoteReference"/>
        </w:rPr>
        <w:footnoteReference w:id="28"/>
      </w:r>
    </w:p>
    <w:p>
      <w:pPr>
        <w:pStyle w:val="Compact"/>
        <w:numPr>
          <w:numId w:val="1001"/>
          <w:ilvl w:val="0"/>
        </w:numPr>
      </w:pPr>
      <w:r>
        <w:t xml:space="preserve">1720 :</w:t>
      </w:r>
      <w:r>
        <w:t xml:space="preserve"> </w:t>
      </w:r>
      <w:r>
        <w:rPr>
          <w:i/>
        </w:rPr>
        <w:t xml:space="preserve">Banqueroute de Law</w:t>
      </w:r>
      <w:r>
        <w:t xml:space="preserve"> </w:t>
      </w:r>
      <w:r>
        <w:rPr>
          <w:rStyle w:val="FootnoteReference"/>
        </w:rPr>
        <w:footnoteReference w:id="30"/>
      </w:r>
    </w:p>
    <w:p>
      <w:pPr>
        <w:pStyle w:val="Compact"/>
        <w:numPr>
          <w:numId w:val="1001"/>
          <w:ilvl w:val="0"/>
        </w:numPr>
      </w:pPr>
      <w:r>
        <w:t xml:space="preserve">1724 : Création de la</w:t>
      </w:r>
      <w:r>
        <w:t xml:space="preserve"> </w:t>
      </w:r>
      <w:r>
        <w:rPr>
          <w:i/>
        </w:rPr>
        <w:t xml:space="preserve">Bourse de Paris</w:t>
      </w:r>
      <w:r>
        <w:t xml:space="preserve"> </w:t>
      </w:r>
      <w:r>
        <w:t xml:space="preserve">par le Roi Louis XV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rPr>
          <w:rStyle w:val="FootnoteReference"/>
        </w:rPr>
        <w:footnoteReference w:id="32"/>
      </w:r>
    </w:p>
    <w:p>
      <w:pPr>
        <w:pStyle w:val="Compact"/>
        <w:numPr>
          <w:numId w:val="1001"/>
          <w:ilvl w:val="0"/>
        </w:numPr>
      </w:pPr>
      <w:r>
        <w:t xml:space="preserve">1774 : Instauration de la criée par décrêt du Roi Louis XV</w:t>
      </w:r>
      <w:r>
        <w:t xml:space="preserve"> </w:t>
      </w:r>
      <w:r>
        <w:rPr>
          <w:rStyle w:val="FootnoteReference"/>
        </w:rPr>
        <w:footnoteReference w:id="33"/>
      </w:r>
    </w:p>
    <w:p>
      <w:pPr>
        <w:pStyle w:val="Compact"/>
        <w:numPr>
          <w:numId w:val="1001"/>
          <w:ilvl w:val="0"/>
        </w:numPr>
      </w:pPr>
      <w:r>
        <w:t xml:space="preserve">1826 : Déménagement de la</w:t>
      </w:r>
      <w:r>
        <w:t xml:space="preserve"> </w:t>
      </w:r>
      <w:r>
        <w:rPr>
          <w:i/>
        </w:rPr>
        <w:t xml:space="preserve">Bourse de Paris</w:t>
      </w:r>
      <w:r>
        <w:t xml:space="preserve"> </w:t>
      </w:r>
      <w:r>
        <w:t xml:space="preserve">depuis l’</w:t>
      </w:r>
      <w:r>
        <w:rPr>
          <w:i/>
        </w:rPr>
        <w:t xml:space="preserve">Hôtel de Nevers</w:t>
      </w:r>
      <w:r>
        <w:t xml:space="preserve"> </w:t>
      </w:r>
      <w:r>
        <w:t xml:space="preserve">vers le</w:t>
      </w:r>
      <w:r>
        <w:t xml:space="preserve"> </w:t>
      </w:r>
      <w:r>
        <w:rPr>
          <w:i/>
        </w:rPr>
        <w:t xml:space="preserve">Palais Brongniart</w:t>
      </w:r>
      <w:r>
        <w:t xml:space="preserve"> </w:t>
      </w:r>
      <w:r>
        <w:rPr>
          <w:rStyle w:val="FootnoteReference"/>
        </w:rPr>
        <w:footnoteReference w:id="34"/>
      </w:r>
    </w:p>
    <w:p>
      <w:pPr>
        <w:pStyle w:val="Compact"/>
        <w:numPr>
          <w:numId w:val="1001"/>
          <w:ilvl w:val="0"/>
        </w:numPr>
      </w:pPr>
      <w:r>
        <w:t xml:space="preserve">1957 : traité de Rome sur la</w:t>
      </w:r>
      <w:r>
        <w:t xml:space="preserve"> </w:t>
      </w:r>
      <w:r>
        <w:rPr>
          <w:i/>
        </w:rPr>
        <w:t xml:space="preserve">Communauté Economique Européenne</w:t>
      </w:r>
    </w:p>
    <w:p>
      <w:pPr>
        <w:pStyle w:val="Compact"/>
        <w:numPr>
          <w:numId w:val="1001"/>
          <w:ilvl w:val="0"/>
        </w:numPr>
      </w:pPr>
      <w:r>
        <w:t xml:space="preserve">1983 : Ouverture du</w:t>
      </w:r>
      <w:r>
        <w:t xml:space="preserve"> </w:t>
      </w:r>
      <w:r>
        <w:rPr>
          <w:i/>
        </w:rPr>
        <w:t xml:space="preserve">Second Marché</w:t>
      </w:r>
      <w:r>
        <w:t xml:space="preserve"> </w:t>
      </w:r>
      <w:r>
        <w:t xml:space="preserve">permettant l’entrée en bourse des</w:t>
      </w:r>
      <w:r>
        <w:t xml:space="preserve"> </w:t>
      </w:r>
      <w:r>
        <w:rPr>
          <w:i/>
        </w:rPr>
        <w:t xml:space="preserve">PME/PMI</w:t>
      </w:r>
      <w:r>
        <w:t xml:space="preserve"> </w:t>
      </w:r>
      <w:r>
        <w:rPr>
          <w:rStyle w:val="FootnoteReference"/>
        </w:rPr>
        <w:footnoteReference w:id="35"/>
      </w:r>
    </w:p>
    <w:p>
      <w:pPr>
        <w:pStyle w:val="Compact"/>
        <w:numPr>
          <w:numId w:val="1001"/>
          <w:ilvl w:val="0"/>
        </w:numPr>
      </w:pPr>
      <w:r>
        <w:t xml:space="preserve">1984 : Ouverture à l’internationale du</w:t>
      </w:r>
      <w:r>
        <w:t xml:space="preserve"> </w:t>
      </w:r>
      <w:r>
        <w:rPr>
          <w:i/>
        </w:rPr>
        <w:t xml:space="preserve">Premier Marché</w:t>
      </w:r>
      <w:r>
        <w:t xml:space="preserve"> </w:t>
      </w:r>
      <w:r>
        <w:t xml:space="preserve">(grandes entreprises françaises)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Compact"/>
        <w:numPr>
          <w:numId w:val="1001"/>
          <w:ilvl w:val="0"/>
        </w:numPr>
      </w:pPr>
      <w:r>
        <w:t xml:space="preserve">1985 : Edition du</w:t>
      </w:r>
      <w:r>
        <w:t xml:space="preserve"> </w:t>
      </w:r>
      <w:r>
        <w:rPr>
          <w:i/>
        </w:rPr>
        <w:t xml:space="preserve">Livre Blanc sur la réforme du financement de l’économie</w:t>
      </w:r>
    </w:p>
    <w:p>
      <w:pPr>
        <w:pStyle w:val="Compact"/>
        <w:numPr>
          <w:numId w:val="1001"/>
          <w:ilvl w:val="0"/>
        </w:numPr>
      </w:pPr>
      <w:r>
        <w:t xml:space="preserve">1986 :</w:t>
      </w:r>
      <w:r>
        <w:t xml:space="preserve"> </w:t>
      </w:r>
      <w:r>
        <w:rPr>
          <w:i/>
        </w:rPr>
        <w:t xml:space="preserve">Acte Unique Européen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Compact"/>
        <w:numPr>
          <w:numId w:val="1001"/>
          <w:ilvl w:val="0"/>
        </w:numPr>
      </w:pPr>
      <w:r>
        <w:t xml:space="preserve">1986 : Naissance de la la</w:t>
      </w:r>
      <w:r>
        <w:t xml:space="preserve"> </w:t>
      </w:r>
      <w:r>
        <w:rPr>
          <w:i/>
        </w:rPr>
        <w:t xml:space="preserve">Cotation Assistée en Continu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Compact"/>
        <w:numPr>
          <w:numId w:val="1001"/>
          <w:ilvl w:val="0"/>
        </w:numPr>
      </w:pPr>
      <w:r>
        <w:t xml:space="preserve">1987 : krach boursier d’Octobre</w:t>
      </w:r>
      <w:r>
        <w:t xml:space="preserve"> </w:t>
      </w:r>
      <w:r>
        <w:rPr>
          <w:rStyle w:val="FootnoteReference"/>
        </w:rPr>
        <w:footnoteReference w:id="40"/>
      </w:r>
    </w:p>
    <w:p>
      <w:pPr>
        <w:pStyle w:val="Compact"/>
        <w:numPr>
          <w:numId w:val="1001"/>
          <w:ilvl w:val="0"/>
        </w:numPr>
      </w:pPr>
      <w:r>
        <w:t xml:space="preserve">années 90 : Naissance de la</w:t>
      </w:r>
      <w:r>
        <w:t xml:space="preserve"> </w:t>
      </w:r>
      <w:r>
        <w:rPr>
          <w:i/>
        </w:rPr>
        <w:t xml:space="preserve">Société des Bourses Françaises</w:t>
      </w:r>
      <w:r>
        <w:t xml:space="preserve"> </w:t>
      </w:r>
      <w:r>
        <w:t xml:space="preserve">en succession à la</w:t>
      </w:r>
      <w:r>
        <w:t xml:space="preserve"> </w:t>
      </w:r>
      <w:r>
        <w:rPr>
          <w:i/>
        </w:rPr>
        <w:t xml:space="preserve">Compagnie des Agents de Change</w:t>
      </w:r>
      <w:r>
        <w:t xml:space="preserve"> </w:t>
      </w:r>
      <w:r>
        <w:rPr>
          <w:rStyle w:val="FootnoteReference"/>
        </w:rPr>
        <w:footnoteReference w:id="41"/>
      </w:r>
    </w:p>
    <w:p>
      <w:pPr>
        <w:pStyle w:val="Compact"/>
        <w:numPr>
          <w:numId w:val="1001"/>
          <w:ilvl w:val="0"/>
        </w:numPr>
      </w:pPr>
      <w:r>
        <w:t xml:space="preserve">1992 : Elaboration du</w:t>
      </w:r>
      <w:r>
        <w:t xml:space="preserve"> </w:t>
      </w:r>
      <w:r>
        <w:rPr>
          <w:i/>
        </w:rPr>
        <w:t xml:space="preserve">Nouveau Système de Cotation</w:t>
      </w:r>
      <w:r>
        <w:t xml:space="preserve"> </w:t>
      </w:r>
      <w:r>
        <w:t xml:space="preserve">par la</w:t>
      </w:r>
      <w:r>
        <w:t xml:space="preserve"> </w:t>
      </w:r>
      <w:r>
        <w:rPr>
          <w:i/>
        </w:rPr>
        <w:t xml:space="preserve">Société des Bourses Françaises</w:t>
      </w:r>
    </w:p>
    <w:p>
      <w:pPr>
        <w:pStyle w:val="Compact"/>
        <w:numPr>
          <w:numId w:val="1001"/>
          <w:ilvl w:val="0"/>
        </w:numPr>
      </w:pPr>
      <w:r>
        <w:t xml:space="preserve">1993 :</w:t>
      </w:r>
      <w:r>
        <w:t xml:space="preserve"> </w:t>
      </w:r>
      <w:r>
        <w:rPr>
          <w:i/>
        </w:rPr>
        <w:t xml:space="preserve">Directive européenne sur les Services d’Investissement</w:t>
      </w:r>
    </w:p>
    <w:p>
      <w:pPr>
        <w:pStyle w:val="Compact"/>
        <w:numPr>
          <w:numId w:val="1001"/>
          <w:ilvl w:val="0"/>
        </w:numPr>
      </w:pPr>
      <w:r>
        <w:t xml:space="preserve">1995 : Mise en service du</w:t>
      </w:r>
      <w:r>
        <w:t xml:space="preserve"> </w:t>
      </w:r>
      <w:r>
        <w:rPr>
          <w:i/>
        </w:rPr>
        <w:t xml:space="preserve">Nouveau Système de Cotation</w:t>
      </w:r>
      <w:r>
        <w:t xml:space="preserve">, visant à remplacer progressivement la</w:t>
      </w:r>
      <w:r>
        <w:t xml:space="preserve"> </w:t>
      </w:r>
      <w:r>
        <w:rPr>
          <w:i/>
        </w:rPr>
        <w:t xml:space="preserve">Cotation Assistée en Continu</w:t>
      </w:r>
    </w:p>
    <w:p>
      <w:pPr>
        <w:pStyle w:val="Compact"/>
        <w:numPr>
          <w:numId w:val="1001"/>
          <w:ilvl w:val="0"/>
        </w:numPr>
      </w:pPr>
      <w:r>
        <w:t xml:space="preserve">1996 :</w:t>
      </w:r>
      <w:r>
        <w:t xml:space="preserve"> </w:t>
      </w:r>
      <w:r>
        <w:t xml:space="preserve">“</w:t>
      </w:r>
      <w:r>
        <w:t xml:space="preserve">Appel de Genève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1996 : Loi du 2 juillet, encadrant la</w:t>
      </w:r>
      <w:r>
        <w:t xml:space="preserve"> </w:t>
      </w:r>
      <w:r>
        <w:t xml:space="preserve">“</w:t>
      </w:r>
      <w:r>
        <w:t xml:space="preserve">modernisation des des activités financières de la place de Paris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1998 : Déplacement des</w:t>
      </w:r>
      <w:r>
        <w:t xml:space="preserve"> </w:t>
      </w:r>
      <w:r>
        <w:rPr>
          <w:i/>
        </w:rPr>
        <w:t xml:space="preserve">agents de change</w:t>
      </w:r>
      <w:r>
        <w:t xml:space="preserve"> </w:t>
      </w:r>
      <w:r>
        <w:t xml:space="preserve">du</w:t>
      </w:r>
      <w:r>
        <w:t xml:space="preserve"> </w:t>
      </w:r>
      <w:r>
        <w:rPr>
          <w:i/>
        </w:rPr>
        <w:t xml:space="preserve">Palais Brongniart</w:t>
      </w:r>
      <w:r>
        <w:t xml:space="preserve">, qui sont alors dans des bureaux séparés</w:t>
      </w:r>
      <w:r>
        <w:t xml:space="preserve"> </w:t>
      </w:r>
      <w:r>
        <w:rPr>
          <w:rStyle w:val="FootnoteReference"/>
        </w:rPr>
        <w:footnoteReference w:id="42"/>
      </w:r>
    </w:p>
    <w:p>
      <w:pPr>
        <w:pStyle w:val="Compact"/>
        <w:numPr>
          <w:numId w:val="1001"/>
          <w:ilvl w:val="0"/>
        </w:numPr>
      </w:pPr>
      <w:r>
        <w:t xml:space="preserve">1999 : Fusion de la</w:t>
      </w:r>
      <w:r>
        <w:t xml:space="preserve"> </w:t>
      </w:r>
      <w:r>
        <w:rPr>
          <w:i/>
        </w:rPr>
        <w:t xml:space="preserve">Bourse de Paris</w:t>
      </w:r>
      <w:r>
        <w:t xml:space="preserve"> </w:t>
      </w:r>
      <w:r>
        <w:t xml:space="preserve">pour former</w:t>
      </w:r>
      <w:r>
        <w:t xml:space="preserve"> </w:t>
      </w:r>
      <w:r>
        <w:rPr>
          <w:i/>
        </w:rPr>
        <w:t xml:space="preserve">Euronext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et abandon du</w:t>
      </w:r>
      <w:r>
        <w:t xml:space="preserve"> </w:t>
      </w:r>
      <w:r>
        <w:rPr>
          <w:i/>
        </w:rPr>
        <w:t xml:space="preserve">CAC</w:t>
      </w:r>
      <w:r>
        <w:t xml:space="preserve"> </w:t>
      </w:r>
      <w:r>
        <w:t xml:space="preserve">pour le</w:t>
      </w:r>
      <w:r>
        <w:t xml:space="preserve"> </w:t>
      </w:r>
      <w:r>
        <w:rPr>
          <w:i/>
        </w:rPr>
        <w:t xml:space="preserve">NSC</w:t>
      </w:r>
      <w:r>
        <w:t xml:space="preserve"> </w:t>
      </w:r>
      <w:r>
        <w:rPr>
          <w:rStyle w:val="FootnoteReference"/>
        </w:rPr>
        <w:footnoteReference w:id="44"/>
      </w:r>
    </w:p>
    <w:p>
      <w:pPr>
        <w:pStyle w:val="Compact"/>
        <w:numPr>
          <w:numId w:val="1001"/>
          <w:ilvl w:val="0"/>
        </w:numPr>
      </w:pPr>
      <w:r>
        <w:t xml:space="preserve">2001 : Adoption du</w:t>
      </w:r>
      <w:r>
        <w:t xml:space="preserve"> </w:t>
      </w:r>
      <w:r>
        <w:rPr>
          <w:i/>
        </w:rPr>
        <w:t xml:space="preserve">Nouveau Modèle de Marché</w:t>
      </w:r>
      <w:r>
        <w:t xml:space="preserve"> </w:t>
      </w:r>
      <w:r>
        <w:t xml:space="preserve">par toutes les filiales du groupe</w:t>
      </w:r>
      <w:r>
        <w:t xml:space="preserve"> </w:t>
      </w:r>
      <w:r>
        <w:rPr>
          <w:i/>
        </w:rPr>
        <w:t xml:space="preserve">Euronext</w:t>
      </w:r>
      <w:r>
        <w:t xml:space="preserve"> </w:t>
      </w:r>
      <w:r>
        <w:rPr>
          <w:rStyle w:val="FootnoteReference"/>
        </w:rPr>
        <w:footnoteReference w:id="46"/>
      </w:r>
    </w:p>
    <w:p>
      <w:pPr>
        <w:pStyle w:val="Compact"/>
        <w:numPr>
          <w:numId w:val="1001"/>
          <w:ilvl w:val="0"/>
        </w:numPr>
      </w:pPr>
      <w:r>
        <w:t xml:space="preserve">2001 : Mise en place d’</w:t>
      </w:r>
      <w:r>
        <w:rPr>
          <w:i/>
        </w:rPr>
        <w:t xml:space="preserve">Eurojust</w:t>
      </w:r>
      <w:r>
        <w:t xml:space="preserve"> </w:t>
      </w:r>
      <w:r>
        <w:t xml:space="preserve">pour aider à la coopération du contrôle des marchés financiers</w:t>
      </w:r>
    </w:p>
    <w:p>
      <w:pPr>
        <w:pStyle w:val="Compact"/>
        <w:numPr>
          <w:numId w:val="1001"/>
          <w:ilvl w:val="0"/>
        </w:numPr>
      </w:pPr>
      <w:r>
        <w:t xml:space="preserve">2003 : Création de l’</w:t>
      </w:r>
      <w:r>
        <w:rPr>
          <w:i/>
        </w:rPr>
        <w:t xml:space="preserve">Autorité des marchés financiers</w:t>
      </w:r>
      <w:r>
        <w:t xml:space="preserve">, par la fusion du</w:t>
      </w:r>
      <w:r>
        <w:t xml:space="preserve"> </w:t>
      </w:r>
      <w:r>
        <w:rPr>
          <w:i/>
        </w:rPr>
        <w:t xml:space="preserve">Conseil des marchés financiers</w:t>
      </w:r>
      <w:r>
        <w:t xml:space="preserve">, de la</w:t>
      </w:r>
      <w:r>
        <w:t xml:space="preserve"> </w:t>
      </w:r>
      <w:r>
        <w:rPr>
          <w:i/>
        </w:rPr>
        <w:t xml:space="preserve">Commission des Opérations de Bourse</w:t>
      </w:r>
      <w:r>
        <w:t xml:space="preserve"> </w:t>
      </w:r>
      <w:r>
        <w:t xml:space="preserve">et du</w:t>
      </w:r>
      <w:r>
        <w:t xml:space="preserve"> </w:t>
      </w:r>
      <w:r>
        <w:rPr>
          <w:i/>
        </w:rPr>
        <w:t xml:space="preserve">Conseil de Discipline de la Gestion Financière</w:t>
      </w:r>
      <w:r>
        <w:t xml:space="preserve"> </w:t>
      </w:r>
      <w:r>
        <w:rPr>
          <w:rStyle w:val="FootnoteReference"/>
        </w:rPr>
        <w:footnoteReference w:id="47"/>
      </w:r>
    </w:p>
    <w:p>
      <w:pPr>
        <w:pStyle w:val="Compact"/>
        <w:numPr>
          <w:numId w:val="1001"/>
          <w:ilvl w:val="0"/>
        </w:numPr>
      </w:pPr>
      <w:r>
        <w:t xml:space="preserve">2007 : Fusion d’</w:t>
      </w:r>
      <w:r>
        <w:rPr>
          <w:i/>
        </w:rPr>
        <w:t xml:space="preserve">Euronext</w:t>
      </w:r>
      <w:r>
        <w:t xml:space="preserve"> </w:t>
      </w:r>
      <w:r>
        <w:t xml:space="preserve">avec le</w:t>
      </w:r>
      <w:r>
        <w:t xml:space="preserve"> </w:t>
      </w:r>
      <w:r>
        <w:rPr>
          <w:i/>
        </w:rPr>
        <w:t xml:space="preserve">New York Stock Exchange</w:t>
      </w:r>
      <w:r>
        <w:t xml:space="preserve">, abandon du</w:t>
      </w:r>
      <w:r>
        <w:t xml:space="preserve"> </w:t>
      </w:r>
      <w:r>
        <w:rPr>
          <w:i/>
        </w:rPr>
        <w:t xml:space="preserve">NSC</w:t>
      </w:r>
      <w:r>
        <w:t xml:space="preserve"> </w:t>
      </w:r>
      <w:r>
        <w:t xml:space="preserve">au profit du système</w:t>
      </w:r>
      <w:r>
        <w:t xml:space="preserve"> </w:t>
      </w:r>
      <w:r>
        <w:rPr>
          <w:i/>
        </w:rPr>
        <w:t xml:space="preserve">Universal Trading Platform</w:t>
      </w:r>
      <w:r>
        <w:t xml:space="preserve"> </w:t>
      </w:r>
      <w:r>
        <w:rPr>
          <w:rStyle w:val="FootnoteReference"/>
        </w:rPr>
        <w:footnoteReference w:id="49"/>
      </w:r>
    </w:p>
    <w:p>
      <w:pPr>
        <w:pStyle w:val="Compact"/>
        <w:numPr>
          <w:numId w:val="1001"/>
          <w:ilvl w:val="0"/>
        </w:numPr>
      </w:pPr>
      <w:r>
        <w:t xml:space="preserve">~ 2010 : Relocalisation des serveurs de la Bourse de Paris du Palais Brognart à Londres</w:t>
      </w:r>
    </w:p>
    <w:p>
      <w:pPr>
        <w:pStyle w:val="Compact"/>
        <w:numPr>
          <w:numId w:val="1001"/>
          <w:ilvl w:val="0"/>
        </w:numPr>
      </w:pPr>
      <w:r>
        <w:t xml:space="preserve">2012 : Décret français pour définir le</w:t>
      </w:r>
      <w:r>
        <w:t xml:space="preserve"> </w:t>
      </w:r>
      <w:r>
        <w:rPr>
          <w:i/>
        </w:rPr>
        <w:t xml:space="preserve">trading haute fréquence</w:t>
      </w:r>
      <w:r>
        <w:t xml:space="preserve"> </w:t>
      </w:r>
      <w:r>
        <w:t xml:space="preserve">et fixer les seuils à partir duquel il peut être taxé</w:t>
      </w:r>
      <w:r>
        <w:t xml:space="preserve"> </w:t>
      </w:r>
      <w:r>
        <w:rPr>
          <w:rStyle w:val="FootnoteReference"/>
        </w:rPr>
        <w:footnoteReference w:id="50"/>
      </w:r>
    </w:p>
    <w:p>
      <w:pPr>
        <w:pStyle w:val="Heading2"/>
      </w:pPr>
      <w:bookmarkStart w:id="51" w:name="chiffres"/>
      <w:bookmarkEnd w:id="51"/>
      <w:r>
        <w:t xml:space="preserve">Chiffres</w:t>
      </w:r>
    </w:p>
    <w:p>
      <w:pPr>
        <w:pStyle w:val="Compact"/>
        <w:numPr>
          <w:numId w:val="1002"/>
          <w:ilvl w:val="0"/>
        </w:numPr>
      </w:pPr>
      <w:r>
        <w:t xml:space="preserve">50 % des échanges sont réalisés par le trading à haute fréquence</w:t>
      </w:r>
      <w:r>
        <w:t xml:space="preserve"> </w:t>
      </w:r>
      <w:r>
        <w:rPr>
          <w:rStyle w:val="FootnoteReference"/>
        </w:rPr>
        <w:footnoteReference w:id="52"/>
      </w:r>
    </w:p>
    <w:p>
      <w:pPr>
        <w:pStyle w:val="Heading2"/>
      </w:pPr>
      <w:bookmarkStart w:id="53" w:name="sources"/>
      <w:bookmarkEnd w:id="53"/>
      <w:r>
        <w:t xml:space="preserve">Sources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La Bourse en France</w:t>
      </w:r>
      <w:r>
        <w:t xml:space="preserve">, Michel Ruimy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Wikipédia - Histoire de la bourse de Paris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>
        <w:r>
          <w:rPr>
            <w:rStyle w:val="Hyperlink"/>
          </w:rPr>
          <w:t xml:space="preserve">Gallica BNF - Banqueroute de Law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>
        <w:r>
          <w:rPr>
            <w:rStyle w:val="Hyperlink"/>
          </w:rPr>
          <w:t xml:space="preserve">Gallica BNF - Banqueroute de Law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Wikipédia - Histoire de la bourse de Paris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Trente ans de déréglementation</w:t>
      </w:r>
      <w:r>
        <w:t xml:space="preserve">, Sandrine Della Gaspera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Trente ans de déréglementation</w:t>
      </w:r>
      <w:r>
        <w:t xml:space="preserve">, Sandrine Della Gaspera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La Bourse en France</w:t>
      </w:r>
      <w:r>
        <w:t xml:space="preserve">, Michel Ruimy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Libération - Il y a 27, la Bourse de Paris s’informatisait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Trente ans de déréglementation</w:t>
      </w:r>
      <w:r>
        <w:t xml:space="preserve">, Sandrine Della Gaspera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Quel avenir pour les places financières</w:t>
      </w:r>
      <w:r>
        <w:t xml:space="preserve">, Frédéric Lelièvre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5">
        <w:r>
          <w:rPr>
            <w:rStyle w:val="Hyperlink"/>
          </w:rPr>
          <w:t xml:space="preserve">Wikipédia - Nouveau Système de Cotation</w:t>
        </w:r>
      </w:hyperlink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Cahiers Français n°301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Quel avenir pour les places financières</w:t>
      </w:r>
      <w:r>
        <w:t xml:space="preserve">, Frédéric Lelièvre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Wikipedia - Autorité des MArchés Financiers (France)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5">
        <w:r>
          <w:rPr>
            <w:rStyle w:val="Hyperlink"/>
          </w:rPr>
          <w:t xml:space="preserve">Wikipédia - Nouveau Système de Cotation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Challenges - Quand la bourse de Paris n’était pas pilotée par les ordinateurs</w:t>
        </w:r>
      </w:hyperlink>
      <w:r>
        <w:t xml:space="preserve"> </w:t>
      </w:r>
      <w:r>
        <w:t xml:space="preserve">( Octobre 2012 )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6db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1643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s://fr.wikipedia.org/wiki/Autorit%C3%A9_des_march%C3%A9s_financiers_(France)" TargetMode="External" /><Relationship Type="http://schemas.openxmlformats.org/officeDocument/2006/relationships/hyperlink" Id="rId27" Target="https://fr.wikipedia.org/wiki/Bourse_de_Paris" TargetMode="External" /><Relationship Type="http://schemas.openxmlformats.org/officeDocument/2006/relationships/hyperlink" Id="rId45" Target="https://fr.wikipedia.org/wiki/Nouveau_syst%C3%A8me_de_cotation" TargetMode="External" /><Relationship Type="http://schemas.openxmlformats.org/officeDocument/2006/relationships/hyperlink" Id="rId29" Target="https://gallica.bnf.fr/essentiels/repere/banqueroute-law-1720" TargetMode="External" /><Relationship Type="http://schemas.openxmlformats.org/officeDocument/2006/relationships/hyperlink" Id="rId25" Target="https://www.challenges.fr/finance-et-marche/quand-la-bourse-de-paris-n-etait-pas-pilotee-par-les-ordinateurs_152315" TargetMode="External" /><Relationship Type="http://schemas.openxmlformats.org/officeDocument/2006/relationships/hyperlink" Id="rId39" Target="https://www.liberation.fr/futurs/2013/02/10/il-y-a-27-ans-la-bourse-de-paris-s-informatisait_8804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fr.wikipedia.org/wiki/Autorit%C3%A9_des_march%C3%A9s_financiers_(France)" TargetMode="External" /><Relationship Type="http://schemas.openxmlformats.org/officeDocument/2006/relationships/hyperlink" Id="rId27" Target="https://fr.wikipedia.org/wiki/Bourse_de_Paris" TargetMode="External" /><Relationship Type="http://schemas.openxmlformats.org/officeDocument/2006/relationships/hyperlink" Id="rId45" Target="https://fr.wikipedia.org/wiki/Nouveau_syst%C3%A8me_de_cotation" TargetMode="External" /><Relationship Type="http://schemas.openxmlformats.org/officeDocument/2006/relationships/hyperlink" Id="rId29" Target="https://gallica.bnf.fr/essentiels/repere/banqueroute-law-1720" TargetMode="External" /><Relationship Type="http://schemas.openxmlformats.org/officeDocument/2006/relationships/hyperlink" Id="rId25" Target="https://www.challenges.fr/finance-et-marche/quand-la-bourse-de-paris-n-etait-pas-pilotee-par-les-ordinateurs_152315" TargetMode="External" /><Relationship Type="http://schemas.openxmlformats.org/officeDocument/2006/relationships/hyperlink" Id="rId39" Target="https://www.liberation.fr/futurs/2013/02/10/il-y-a-27-ans-la-bourse-de-paris-s-informatisait_8804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2019-07-07T13:15:35Z</dcterms:created>
  <dcterms:modified xsi:type="dcterms:W3CDTF">2019-07-07T13:15:35Z</dcterms:modified>
</cp:coreProperties>
</file>