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es-débuts-de-lère-digitale"/>
      <w:bookmarkEnd w:id="21"/>
      <w:r>
        <w:t xml:space="preserve">Les débuts de l’ère digitale</w:t>
      </w:r>
    </w:p>
    <w:p>
      <w:pPr>
        <w:pStyle w:val="Heading2"/>
      </w:pPr>
      <w:bookmarkStart w:id="22" w:name="vers-un-nouveau-système-de-cotation"/>
      <w:bookmarkEnd w:id="22"/>
      <w:r>
        <w:t xml:space="preserve">Vers un Nouveau Système de Cotation</w:t>
      </w:r>
    </w:p>
    <w:p>
      <w:pPr>
        <w:pStyle w:val="FirstParagraph"/>
      </w:pPr>
      <w:r>
        <w:t xml:space="preserve">En réponse à la montée en puissance des technologie informatique, la</w:t>
      </w:r>
      <w:r>
        <w:t xml:space="preserve"> </w:t>
      </w:r>
      <w:r>
        <w:rPr>
          <w:i/>
        </w:rPr>
        <w:t xml:space="preserve">Société des Bourses Françaises</w:t>
      </w:r>
      <w:r>
        <w:t xml:space="preserve"> </w:t>
      </w:r>
      <w:r>
        <w:t xml:space="preserve">a entrepris en 1992 une refonte de son système de</w:t>
      </w:r>
      <w:r>
        <w:t xml:space="preserve"> </w:t>
      </w:r>
      <w:r>
        <w:rPr>
          <w:i/>
        </w:rPr>
        <w:t xml:space="preserve">Cotation Assistée en Continu</w:t>
      </w:r>
      <w:r>
        <w:t xml:space="preserve"> </w:t>
      </w:r>
      <w:r>
        <w:t xml:space="preserve">vers un</w:t>
      </w:r>
      <w:r>
        <w:t xml:space="preserve"> </w:t>
      </w:r>
      <w:r>
        <w:rPr>
          <w:i/>
        </w:rPr>
        <w:t xml:space="preserve">Nouveau Système de Cotation</w:t>
      </w:r>
      <w:r>
        <w:t xml:space="preserve">. Ce dernier a pour but de permettre une automatisation plus complète du marché, en permettant notamment de traiter un plus grand nombre d’ordres à la seconde.</w:t>
      </w:r>
      <w:r>
        <w:t xml:space="preserve"> </w:t>
      </w:r>
      <w:r>
        <w:rPr>
          <w:rStyle w:val="FootnoteReference"/>
        </w:rPr>
        <w:footnoteReference w:id="23"/>
      </w:r>
    </w:p>
    <w:p>
      <w:pPr>
        <w:pStyle w:val="BodyText"/>
      </w:pPr>
      <w:r>
        <w:t xml:space="preserve">Il rentre en service dès 1995 et vise à remplacer progressivement la</w:t>
      </w:r>
      <w:r>
        <w:t xml:space="preserve"> </w:t>
      </w:r>
      <w:r>
        <w:rPr>
          <w:i/>
        </w:rPr>
        <w:t xml:space="preserve">Cotation Assistée en Continu</w:t>
      </w:r>
      <w:r>
        <w:t xml:space="preserve">. C’est ce</w:t>
      </w:r>
      <w:r>
        <w:t xml:space="preserve"> </w:t>
      </w:r>
      <w:r>
        <w:rPr>
          <w:i/>
        </w:rPr>
        <w:t xml:space="preserve">Nouveau Système de Cotation</w:t>
      </w:r>
      <w:r>
        <w:t xml:space="preserve"> </w:t>
      </w:r>
      <w:r>
        <w:t xml:space="preserve">qui est choisi comme système unique lors de la fusion des bourses de Paris, d’Amsterdam et de Bruxelles, sous le nom d’</w:t>
      </w:r>
      <w:r>
        <w:rPr>
          <w:i/>
        </w:rPr>
        <w:t xml:space="preserve">Euronext</w:t>
      </w:r>
      <w:r>
        <w:t xml:space="preserve">, dans les années 2000.</w:t>
      </w:r>
    </w:p>
    <w:p>
      <w:pPr>
        <w:pStyle w:val="BodyText"/>
      </w:pPr>
      <w:r>
        <w:t xml:space="preserve">Il sera par la suite abandonné lors de la fusion d’</w:t>
      </w:r>
      <w:r>
        <w:rPr>
          <w:i/>
        </w:rPr>
        <w:t xml:space="preserve">Euronext</w:t>
      </w:r>
      <w:r>
        <w:t xml:space="preserve"> </w:t>
      </w:r>
      <w:r>
        <w:t xml:space="preserve">avec la</w:t>
      </w:r>
      <w:r>
        <w:t xml:space="preserve"> </w:t>
      </w:r>
      <w:r>
        <w:rPr>
          <w:i/>
        </w:rPr>
        <w:t xml:space="preserve">New York Stack Exchange</w:t>
      </w:r>
      <w:r>
        <w:t xml:space="preserve"> </w:t>
      </w:r>
      <w:r>
        <w:t xml:space="preserve">au profit de l’</w:t>
      </w:r>
      <w:r>
        <w:rPr>
          <w:i/>
        </w:rPr>
        <w:t xml:space="preserve">Universal Trading Platform</w:t>
      </w:r>
      <w:r>
        <w:t xml:space="preserve">, à partir de Décembre 2008. Cette dernière évolution renforce la diffusion des ordres à l’internationale en offrant un accès simplifié aux différents marchés qu’elle connecte.</w:t>
      </w:r>
      <w:r>
        <w:t xml:space="preserve"> </w:t>
      </w:r>
      <w:r>
        <w:rPr>
          <w:rStyle w:val="FootnoteReference"/>
        </w:rPr>
        <w:footnoteReference w:id="25"/>
      </w:r>
    </w:p>
    <w:p>
      <w:pPr>
        <w:pStyle w:val="BodyText"/>
      </w:pPr>
      <w:r>
        <w:rPr>
          <w:b/>
        </w:rPr>
        <w:t xml:space="preserve">Note</w:t>
      </w:r>
      <w:r>
        <w:t xml:space="preserve"> </w:t>
      </w:r>
      <w:r>
        <w:t xml:space="preserve">: Bien que plus utilisé, le système de</w:t>
      </w:r>
      <w:r>
        <w:t xml:space="preserve"> </w:t>
      </w:r>
      <w:r>
        <w:rPr>
          <w:i/>
        </w:rPr>
        <w:t xml:space="preserve">Cotation Assistée en Continu</w:t>
      </w:r>
      <w:r>
        <w:t xml:space="preserve"> </w:t>
      </w:r>
      <w:r>
        <w:t xml:space="preserve">a donné son nom au</w:t>
      </w:r>
      <w:r>
        <w:t xml:space="preserve"> </w:t>
      </w:r>
      <w:r>
        <w:rPr>
          <w:i/>
        </w:rPr>
        <w:t xml:space="preserve">CAC 40</w:t>
      </w:r>
      <w:r>
        <w:t xml:space="preserve">, qui est un indice de la capitalisation des entreprises françaises, basée sur les quarante entreprises ayant le plus grand capital en bourse (calculé au travers d’un</w:t>
      </w:r>
      <w:r>
        <w:t xml:space="preserve"> </w:t>
      </w:r>
      <w:r>
        <w:rPr>
          <w:i/>
        </w:rPr>
        <w:t xml:space="preserve">indice pondéré</w:t>
      </w:r>
      <w:r>
        <w:t xml:space="preserve">). Il s’agit exclusivement d’entreprise</w:t>
      </w:r>
      <w:r>
        <w:t xml:space="preserve"> </w:t>
      </w:r>
      <w:r>
        <w:rPr>
          <w:b/>
        </w:rPr>
        <w:t xml:space="preserve">domiciliées</w:t>
      </w:r>
      <w:r>
        <w:t xml:space="preserve"> </w:t>
      </w:r>
      <w:r>
        <w:t xml:space="preserve">en France, mais leur capitaux peuvent provenir de fonds étranger, tout comme leurs activités peuvent être délocalisées.</w:t>
      </w:r>
      <w:r>
        <w:t xml:space="preserve"> </w:t>
      </w:r>
      <w:r>
        <w:rPr>
          <w:rStyle w:val="FootnoteReference"/>
        </w:rPr>
        <w:footnoteReference w:id="27"/>
      </w:r>
    </w:p>
    <w:p>
      <w:pPr>
        <w:pStyle w:val="Heading2"/>
      </w:pPr>
      <w:bookmarkStart w:id="29" w:name="lémergence-des-robots-conseillers-et-de-la-fintech"/>
      <w:bookmarkEnd w:id="29"/>
      <w:r>
        <w:t xml:space="preserve">L’émergence des robots-conseillers et de la fintech</w:t>
      </w:r>
    </w:p>
    <w:p>
      <w:pPr>
        <w:pStyle w:val="FirstParagraph"/>
      </w:pPr>
      <w:r>
        <w:t xml:space="preserve">Suite au succès de</w:t>
      </w:r>
      <w:r>
        <w:t xml:space="preserve"> </w:t>
      </w:r>
      <w:r>
        <w:rPr>
          <w:i/>
        </w:rPr>
        <w:t xml:space="preserve">Betterment</w:t>
      </w:r>
      <w:r>
        <w:t xml:space="preserve">, le premier robot-conseiller (</w:t>
      </w:r>
      <w:r>
        <w:rPr>
          <w:i/>
        </w:rPr>
        <w:t xml:space="preserve">robo-advisor</w:t>
      </w:r>
      <w:r>
        <w:t xml:space="preserve"> </w:t>
      </w:r>
      <w:r>
        <w:t xml:space="preserve">ou</w:t>
      </w:r>
      <w:r>
        <w:t xml:space="preserve"> </w:t>
      </w:r>
      <w:r>
        <w:rPr>
          <w:i/>
        </w:rPr>
        <w:t xml:space="preserve">robo-adviser</w:t>
      </w:r>
      <w:r>
        <w:t xml:space="preserve"> </w:t>
      </w:r>
      <w:r>
        <w:t xml:space="preserve">dans la langue de Shakespeare), lancée en 2010, le digitalisation des services financiers a connu un rapide essor. Si les technologies mises en oeuvre s’appuient grandement sur celles utilisées dès les années 2000, c’est leur ouverture au grand public qui change considérablement la donne.</w:t>
      </w:r>
    </w:p>
    <w:p>
      <w:pPr>
        <w:pStyle w:val="BodyText"/>
      </w:pPr>
      <w:r>
        <w:t xml:space="preserve">N’étant plus réservées aux courtiers professionnels, ces outils numériques permettent une automatisation des services financiers ne requérant qu’une très légère, voire aucune, supervision humaine. Cela permet notamment d’ouvrir la porte à des investisseurs avec un budget de départ bien plus faible qu’auprès des conseillers financiers humains.</w:t>
      </w:r>
      <w:r>
        <w:t xml:space="preserve"> </w:t>
      </w:r>
      <w:r>
        <w:rPr>
          <w:rStyle w:val="FootnoteReference"/>
        </w:rPr>
        <w:footnoteReference w:id="30"/>
      </w:r>
    </w:p>
    <w:p>
      <w:pPr>
        <w:pStyle w:val="Heading2"/>
      </w:pPr>
      <w:bookmarkStart w:id="32" w:name="pistes-de-recherches"/>
      <w:bookmarkEnd w:id="32"/>
      <w:r>
        <w:t xml:space="preserve">Pistes de recherches 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Les Echos - Nouveau Système de Cotation à la Bourse de Paris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Markets Wiki - NYSE Euronext Universal Trading Platform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Wikipedia - CAC 40</w:t>
        </w:r>
      </w:hyperlink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Investopedia - Robo-Advisor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8229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marketswiki.com/wiki/NYSE_Euronext_Universal_Trading_Platform" TargetMode="External" /><Relationship Type="http://schemas.openxmlformats.org/officeDocument/2006/relationships/hyperlink" Id="rId28" Target="https://en.wikipedia.org/wiki/CAC_40" TargetMode="External" /><Relationship Type="http://schemas.openxmlformats.org/officeDocument/2006/relationships/hyperlink" Id="rId31" Target="https://www.investopedia.com/terms/r/roboadvisor-roboadviser.asp" TargetMode="External" /><Relationship Type="http://schemas.openxmlformats.org/officeDocument/2006/relationships/hyperlink" Id="rId24" Target="https://www.lesechos.fr/1995/04/nouveau-systeme-de-cotation-a-la-bourse-de-paris-85460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marketswiki.com/wiki/NYSE_Euronext_Universal_Trading_Platform" TargetMode="External" /><Relationship Type="http://schemas.openxmlformats.org/officeDocument/2006/relationships/hyperlink" Id="rId28" Target="https://en.wikipedia.org/wiki/CAC_40" TargetMode="External" /><Relationship Type="http://schemas.openxmlformats.org/officeDocument/2006/relationships/hyperlink" Id="rId31" Target="https://www.investopedia.com/terms/r/roboadvisor-roboadviser.asp" TargetMode="External" /><Relationship Type="http://schemas.openxmlformats.org/officeDocument/2006/relationships/hyperlink" Id="rId24" Target="https://www.lesechos.fr/1995/04/nouveau-systeme-de-cotation-a-la-bourse-de-paris-8546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2019-07-06T15:10:30Z</dcterms:created>
  <dcterms:modified xsi:type="dcterms:W3CDTF">2019-07-06T15:10:30Z</dcterms:modified>
</cp:coreProperties>
</file>