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77.png" ContentType="image/png"/>
  <Override PartName="/word/media/rId82.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3.png" ContentType="image/png"/>
  <Override PartName="/word/media/rId126.png" ContentType="image/png"/>
  <Override PartName="/word/media/rId143.png" ContentType="image/png"/>
  <Override PartName="/word/media/rId139.png" ContentType="image/png"/>
  <Override PartName="/word/media/rId123.png" ContentType="image/png"/>
  <Override PartName="/word/media/rId120.png" ContentType="image/png"/>
  <Override PartName="/word/media/rId106.png" ContentType="image/png"/>
  <Override PartName="/word/media/rId98.png" ContentType="image/png"/>
  <Override PartName="/word/media/rId94.png" ContentType="image/png"/>
  <Override PartName="/word/media/rId110.png" ContentType="image/png"/>
  <Override PartName="/word/media/rId113.png" ContentType="image/png"/>
  <Override PartName="/word/media/rId116.png" ContentType="image/png"/>
  <Override PartName="/word/media/rId90.png" ContentType="image/png"/>
  <Override PartName="/word/media/rId102.png" ContentType="image/png"/>
  <Override PartName="/word/media/rId86.png" ContentType="image/png"/>
  <Override PartName="/word/media/rId130.png" ContentType="image/png"/>
  <Override PartName="/word/media/rId134.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81"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76" w:name="X4dc1cb5376edc7889a3716170578ee1fa879461"/>
    <w:p>
      <w:pPr>
        <w:pStyle w:val="Heading3"/>
      </w:pPr>
      <w:r>
        <w:t xml:space="preserve">4.4.3 Screen Design</w:t>
      </w:r>
    </w:p>
    <w:p>
      <w:pPr>
        <w:pStyle w:val="FirstParagraph"/>
      </w:pPr>
      <w:r>
        <w:t xml:space="preserve">Before implementation began, the intended appearance of each principal screen was sketched as a</w:t>
      </w:r>
      <w:r>
        <w:t xml:space="preserve"> </w:t>
      </w:r>
      <w:r>
        <w:rPr>
          <w:b/>
          <w:bCs/>
        </w:rPr>
        <w:t xml:space="preserve">low-fidelity wireframe</w:t>
      </w:r>
      <w:r>
        <w:t xml:space="preserve">. These wireframes (Figures 4.11–4.16) are deliberately draft-quality — greyscale placeholder boxes, dashed drop-zones and squiggle text lines rather than final styling — so that the</w:t>
      </w:r>
      <w:r>
        <w:t xml:space="preserve"> </w:t>
      </w:r>
      <w:r>
        <w:rPr>
          <w:i/>
          <w:iCs/>
        </w:rPr>
        <w:t xml:space="preserve">layout and information hierarchy</w:t>
      </w:r>
      <w:r>
        <w:t xml:space="preserve"> </w:t>
      </w:r>
      <w:r>
        <w:t xml:space="preserve">could be agreed before any code was written. Their role is to fix, up front, where each element sits, what data each screen surfaces, and how the analyst moves through the workflow; the finished, working screens are shown later as real screenshots in §4.6, and can be compared against these drafts. There are a number of main screens in the graphical user interface that assist with the entire vulnerability triage process, each built to serve a particular purpose while sharing a common layout and navigation system.</w:t>
      </w:r>
    </w:p>
    <w:p>
      <w:pPr>
        <w:pStyle w:val="BodyText"/>
      </w:pPr>
      <w:r>
        <w:rPr>
          <w:b/>
          <w:bCs/>
        </w:rPr>
        <w:t xml:space="preserve">Authentication Screen.</w:t>
      </w:r>
      <w:r>
        <w:t xml:space="preserve"> </w:t>
      </w:r>
      <w:r>
        <w:t xml:space="preserve">The authentication interface (Figure 4.11) allows users to sign up for new accounts as well as log into the application securely. The interface has a straightforward form that asks for user information and only allows access to the system when it is entered. If authentication succeeds, the user gains access to the protected features of the application, and a user session is established. Its minimalism reflects the design goal of moving the analyst into the workspace with the least friction; all other functionality is gated behind successful authentication.</w:t>
      </w:r>
    </w:p>
    <w:p>
      <w:pPr>
        <w:pStyle w:val="BodyText"/>
      </w:pPr>
      <w:r>
        <w:drawing>
          <wp:inline>
            <wp:extent cx="5334000" cy="2362962"/>
            <wp:effectExtent b="0" l="0" r="0" t="0"/>
            <wp:docPr descr="Figure 4.11: Authentication Screen wireframe" title="" id="59" name="Picture"/>
            <a:graphic>
              <a:graphicData uri="http://schemas.openxmlformats.org/drawingml/2006/picture">
                <pic:pic>
                  <pic:nvPicPr>
                    <pic:cNvPr descr="wireframes/wf-01-auth.png" id="60" name="Picture"/>
                    <pic:cNvPicPr>
                      <a:picLocks noChangeArrowheads="1" noChangeAspect="1"/>
                    </pic:cNvPicPr>
                  </pic:nvPicPr>
                  <pic:blipFill>
                    <a:blip r:embed="rId58"/>
                    <a:stretch>
                      <a:fillRect/>
                    </a:stretch>
                  </pic:blipFill>
                  <pic:spPr bwMode="auto">
                    <a:xfrm>
                      <a:off x="0" y="0"/>
                      <a:ext cx="5334000" cy="2362962"/>
                    </a:xfrm>
                    <a:prstGeom prst="rect">
                      <a:avLst/>
                    </a:prstGeom>
                    <a:noFill/>
                    <a:ln w="9525">
                      <a:noFill/>
                      <a:headEnd/>
                      <a:tailEnd/>
                    </a:ln>
                  </pic:spPr>
                </pic:pic>
              </a:graphicData>
            </a:graphic>
          </wp:inline>
        </w:drawing>
      </w:r>
    </w:p>
    <w:p>
      <w:pPr>
        <w:pStyle w:val="BodyText"/>
      </w:pPr>
      <w:r>
        <w:rPr>
          <w:b/>
          <w:bCs/>
        </w:rPr>
        <w:t xml:space="preserve">Figure 4.11: Authentication Screen — pre-implementation wireframe.</w:t>
      </w:r>
      <w:r>
        <w:t xml:space="preserve"> </w:t>
      </w:r>
      <w:r>
        <w:rPr>
          <w:i/>
          <w:iCs/>
        </w:rPr>
        <w:t xml:space="preserve">A single focused login/register card; access to every other screen is gated behind it.</w:t>
      </w:r>
    </w:p>
    <w:p>
      <w:pPr>
        <w:pStyle w:val="BodyText"/>
      </w:pPr>
      <w:r>
        <w:rPr>
          <w:b/>
          <w:bCs/>
        </w:rPr>
        <w:t xml:space="preserve">Dashboard.</w:t>
      </w:r>
      <w:r>
        <w:t xml:space="preserve"> </w:t>
      </w:r>
      <w:r>
        <w:t xml:space="preserve">After authentication, the dashboard (Figure 4.12) is the primary landing page and displays the results of the vulnerability assessment. Several key performance indicators are listed at the top of the page — the total number of findings, confirmed vulnerabilities, findings requiring manual verification, and uploaded scanner reports. Interactive charts provide a summary of the severity of the vulnerabilities, the distribution of their classification, and the scanners used to detect them. A ranked table lists the most severe vulnerabilities by CVSS score. This layout embodies the "overview first, detail on demand" principle of information-dashboard design, organised top-to-bottom in decreasing order of abstraction.</w:t>
      </w:r>
    </w:p>
    <w:p>
      <w:pPr>
        <w:pStyle w:val="BodyText"/>
      </w:pPr>
      <w:r>
        <w:drawing>
          <wp:inline>
            <wp:extent cx="5334000" cy="3211068"/>
            <wp:effectExtent b="0" l="0" r="0" t="0"/>
            <wp:docPr descr="Figure 4.12: Dashboard wireframe" title="" id="62" name="Picture"/>
            <a:graphic>
              <a:graphicData uri="http://schemas.openxmlformats.org/drawingml/2006/picture">
                <pic:pic>
                  <pic:nvPicPr>
                    <pic:cNvPr descr="wireframes/wf-02-dashboard.png" id="63" name="Picture"/>
                    <pic:cNvPicPr>
                      <a:picLocks noChangeArrowheads="1" noChangeAspect="1"/>
                    </pic:cNvPicPr>
                  </pic:nvPicPr>
                  <pic:blipFill>
                    <a:blip r:embed="rId61"/>
                    <a:stretch>
                      <a:fillRect/>
                    </a:stretch>
                  </pic:blipFill>
                  <pic:spPr bwMode="auto">
                    <a:xfrm>
                      <a:off x="0" y="0"/>
                      <a:ext cx="5334000" cy="3211068"/>
                    </a:xfrm>
                    <a:prstGeom prst="rect">
                      <a:avLst/>
                    </a:prstGeom>
                    <a:noFill/>
                    <a:ln w="9525">
                      <a:noFill/>
                      <a:headEnd/>
                      <a:tailEnd/>
                    </a:ln>
                  </pic:spPr>
                </pic:pic>
              </a:graphicData>
            </a:graphic>
          </wp:inline>
        </w:drawing>
      </w:r>
    </w:p>
    <w:p>
      <w:pPr>
        <w:pStyle w:val="BodyText"/>
      </w:pPr>
      <w:r>
        <w:rPr>
          <w:b/>
          <w:bCs/>
        </w:rPr>
        <w:t xml:space="preserve">Figure 4.12: Dashboard — pre-implementation wireframe.</w:t>
      </w:r>
      <w:r>
        <w:t xml:space="preserve"> </w:t>
      </w:r>
      <w:r>
        <w:rPr>
          <w:i/>
          <w:iCs/>
        </w:rPr>
        <w:t xml:space="preserve">KPI cards, three summary charts, and a top-vulnerabilities-by-CVSS table.</w:t>
      </w:r>
    </w:p>
    <w:p>
      <w:pPr>
        <w:pStyle w:val="BodyText"/>
      </w:pPr>
      <w:r>
        <w:rPr>
          <w:b/>
          <w:bCs/>
        </w:rPr>
        <w:t xml:space="preserve">Upload Screen.</w:t>
      </w:r>
      <w:r>
        <w:t xml:space="preserve"> </w:t>
      </w:r>
      <w:r>
        <w:t xml:space="preserve">Supported scanners such as OWASP ZAP, Nuclei and Nessus can be used to report vulnerabilities on the Upload screen (Figure 4.13). It is possible to enable optional processing functionality — an exploit search and Proof-of-Concept (PoC) checking — prior to the start of a vulnerability triage pipeline. Previous reports are also visible, to aid reprocessing and review. Surfacing the two optional, potentially intrusive capabilities as clearly-labelled toggles — rather than hiding them in configuration — is a deliberate usability and safety decision.</w:t>
      </w:r>
    </w:p>
    <w:p>
      <w:pPr>
        <w:pStyle w:val="BodyText"/>
      </w:pPr>
      <w:r>
        <w:drawing>
          <wp:inline>
            <wp:extent cx="5334000" cy="2368296"/>
            <wp:effectExtent b="0" l="0" r="0" t="0"/>
            <wp:docPr descr="Figure 4.13: Upload Screen wireframe" title="" id="65" name="Picture"/>
            <a:graphic>
              <a:graphicData uri="http://schemas.openxmlformats.org/drawingml/2006/picture">
                <pic:pic>
                  <pic:nvPicPr>
                    <pic:cNvPr descr="wireframes/wf-03-upload.png" id="66" name="Picture"/>
                    <pic:cNvPicPr>
                      <a:picLocks noChangeArrowheads="1" noChangeAspect="1"/>
                    </pic:cNvPicPr>
                  </pic:nvPicPr>
                  <pic:blipFill>
                    <a:blip r:embed="rId64"/>
                    <a:stretch>
                      <a:fillRect/>
                    </a:stretch>
                  </pic:blipFill>
                  <pic:spPr bwMode="auto">
                    <a:xfrm>
                      <a:off x="0" y="0"/>
                      <a:ext cx="5334000" cy="2368296"/>
                    </a:xfrm>
                    <a:prstGeom prst="rect">
                      <a:avLst/>
                    </a:prstGeom>
                    <a:noFill/>
                    <a:ln w="9525">
                      <a:noFill/>
                      <a:headEnd/>
                      <a:tailEnd/>
                    </a:ln>
                  </pic:spPr>
                </pic:pic>
              </a:graphicData>
            </a:graphic>
          </wp:inline>
        </w:drawing>
      </w:r>
    </w:p>
    <w:p>
      <w:pPr>
        <w:pStyle w:val="BodyText"/>
      </w:pPr>
      <w:r>
        <w:rPr>
          <w:b/>
          <w:bCs/>
        </w:rPr>
        <w:t xml:space="preserve">Figure 4.13: Upload Screen — pre-implementation wireframe.</w:t>
      </w:r>
      <w:r>
        <w:t xml:space="preserve"> </w:t>
      </w:r>
      <w:r>
        <w:rPr>
          <w:i/>
          <w:iCs/>
        </w:rPr>
        <w:t xml:space="preserve">Scanner-type selector, drag-and-drop zone, pipeline-option toggles, and an upload-history table.</w:t>
      </w:r>
    </w:p>
    <w:p>
      <w:pPr>
        <w:pStyle w:val="BodyText"/>
      </w:pPr>
      <w:r>
        <w:rPr>
          <w:b/>
          <w:bCs/>
        </w:rPr>
        <w:t xml:space="preserve">Auto Scan Screen.</w:t>
      </w:r>
      <w:r>
        <w:t xml:space="preserve"> </w:t>
      </w:r>
      <w:r>
        <w:t xml:space="preserve">Authorised users are able to conduct their vulnerability assessments directly from the Auto Scan interface (Figure 4.14). Before the scanning process starts, users define the target URL, select the scanning tools they wish to use, and confirm they have permission to evaluate the specified target. This acknowledgement helps validate the ethical and authorised use of active security testing, and is the interface-level expression of the responsible-operation principle.</w:t>
      </w:r>
    </w:p>
    <w:p>
      <w:pPr>
        <w:pStyle w:val="BodyText"/>
      </w:pPr>
      <w:r>
        <w:drawing>
          <wp:inline>
            <wp:extent cx="5334000" cy="2837688"/>
            <wp:effectExtent b="0" l="0" r="0" t="0"/>
            <wp:docPr descr="Figure 4.14: Auto Scan Screen wireframe" title="" id="68" name="Picture"/>
            <a:graphic>
              <a:graphicData uri="http://schemas.openxmlformats.org/drawingml/2006/picture">
                <pic:pic>
                  <pic:nvPicPr>
                    <pic:cNvPr descr="wireframes/wf-04-autoscan.png" id="69" name="Picture"/>
                    <pic:cNvPicPr>
                      <a:picLocks noChangeArrowheads="1" noChangeAspect="1"/>
                    </pic:cNvPicPr>
                  </pic:nvPicPr>
                  <pic:blipFill>
                    <a:blip r:embed="rId67"/>
                    <a:stretch>
                      <a:fillRect/>
                    </a:stretch>
                  </pic:blipFill>
                  <pic:spPr bwMode="auto">
                    <a:xfrm>
                      <a:off x="0" y="0"/>
                      <a:ext cx="5334000" cy="2837688"/>
                    </a:xfrm>
                    <a:prstGeom prst="rect">
                      <a:avLst/>
                    </a:prstGeom>
                    <a:noFill/>
                    <a:ln w="9525">
                      <a:noFill/>
                      <a:headEnd/>
                      <a:tailEnd/>
                    </a:ln>
                  </pic:spPr>
                </pic:pic>
              </a:graphicData>
            </a:graphic>
          </wp:inline>
        </w:drawing>
      </w:r>
    </w:p>
    <w:p>
      <w:pPr>
        <w:pStyle w:val="BodyText"/>
      </w:pPr>
      <w:r>
        <w:rPr>
          <w:b/>
          <w:bCs/>
        </w:rPr>
        <w:t xml:space="preserve">Figure 4.14: Auto Scan Screen — pre-implementation wireframe.</w:t>
      </w:r>
      <w:r>
        <w:t xml:space="preserve"> </w:t>
      </w:r>
      <w:r>
        <w:rPr>
          <w:i/>
          <w:iCs/>
        </w:rPr>
        <w:t xml:space="preserve">Target field, scanner selection, and the mandatory authorisation gate that must be ticked before scanning.</w:t>
      </w:r>
    </w:p>
    <w:p>
      <w:pPr>
        <w:pStyle w:val="BodyText"/>
      </w:pPr>
      <w:r>
        <w:rPr>
          <w:b/>
          <w:bCs/>
        </w:rPr>
        <w:t xml:space="preserve">Findings Screen.</w:t>
      </w:r>
      <w:r>
        <w:t xml:space="preserve"> </w:t>
      </w:r>
      <w:r>
        <w:t xml:space="preserve">All processed vulnerabilities are listed in the Findings screen (Figure 4.15) in a table that is searchable and filterable. For each vulnerability, the table shows the severity level, CVSS score, CWE ID, the scanner that found it, the confidence level, and the status. Filtering and sorting enable analysts to quickly narrow down the results to find the high-priority findings that need further analysis — the practical payoff of the whole system.</w:t>
      </w:r>
    </w:p>
    <w:p>
      <w:pPr>
        <w:pStyle w:val="BodyText"/>
      </w:pPr>
      <w:r>
        <w:drawing>
          <wp:inline>
            <wp:extent cx="5334000" cy="2186940"/>
            <wp:effectExtent b="0" l="0" r="0" t="0"/>
            <wp:docPr descr="Figure 4.15: Findings Screen wireframe" title="" id="71" name="Picture"/>
            <a:graphic>
              <a:graphicData uri="http://schemas.openxmlformats.org/drawingml/2006/picture">
                <pic:pic>
                  <pic:nvPicPr>
                    <pic:cNvPr descr="wireframes/wf-05-findings.png" id="72" name="Picture"/>
                    <pic:cNvPicPr>
                      <a:picLocks noChangeArrowheads="1" noChangeAspect="1"/>
                    </pic:cNvPicPr>
                  </pic:nvPicPr>
                  <pic:blipFill>
                    <a:blip r:embed="rId70"/>
                    <a:stretch>
                      <a:fillRect/>
                    </a:stretch>
                  </pic:blipFill>
                  <pic:spPr bwMode="auto">
                    <a:xfrm>
                      <a:off x="0" y="0"/>
                      <a:ext cx="5334000" cy="2186940"/>
                    </a:xfrm>
                    <a:prstGeom prst="rect">
                      <a:avLst/>
                    </a:prstGeom>
                    <a:noFill/>
                    <a:ln w="9525">
                      <a:noFill/>
                      <a:headEnd/>
                      <a:tailEnd/>
                    </a:ln>
                  </pic:spPr>
                </pic:pic>
              </a:graphicData>
            </a:graphic>
          </wp:inline>
        </w:drawing>
      </w:r>
    </w:p>
    <w:p>
      <w:pPr>
        <w:pStyle w:val="BodyText"/>
      </w:pPr>
      <w:r>
        <w:rPr>
          <w:b/>
          <w:bCs/>
        </w:rPr>
        <w:t xml:space="preserve">Figure 4.15: Findings Screen — pre-implementation wireframe.</w:t>
      </w:r>
      <w:r>
        <w:t xml:space="preserve"> </w:t>
      </w:r>
      <w:r>
        <w:rPr>
          <w:i/>
          <w:iCs/>
        </w:rPr>
        <w:t xml:space="preserve">A searchable, filterable table of every triaged finding with its classification status.</w:t>
      </w:r>
    </w:p>
    <w:p>
      <w:pPr>
        <w:pStyle w:val="BodyText"/>
      </w:pPr>
      <w:r>
        <w:rPr>
          <w:b/>
          <w:bCs/>
        </w:rPr>
        <w:t xml:space="preserve">Finding Details Screen.</w:t>
      </w:r>
      <w:r>
        <w:t xml:space="preserve"> </w:t>
      </w:r>
      <w:r>
        <w:t xml:space="preserve">The Finding Details interface (Figure 4.16) shows detailed information about a single vulnerability. The page outlines the vulnerability description, CVSS metrics, CWE information, the machine-learning prediction, the confidence score, the factor breakdown, the Proof-of-Concept (PoC) validation results, and remediation recommendations. The classification may also be manually changed by analysts when professional judgement deems a different classification warranted. This interface gives full visibility into the rationale behind every vulnerability classification and enables informed security decision-making — the point at which the system's commitment to explainability becomes concrete.</w:t>
      </w:r>
    </w:p>
    <w:p>
      <w:pPr>
        <w:pStyle w:val="BodyText"/>
      </w:pPr>
      <w:r>
        <w:drawing>
          <wp:inline>
            <wp:extent cx="5334000" cy="3781806"/>
            <wp:effectExtent b="0" l="0" r="0" t="0"/>
            <wp:docPr descr="Figure 4.16: Finding Details Screen wireframe" title="" id="74" name="Picture"/>
            <a:graphic>
              <a:graphicData uri="http://schemas.openxmlformats.org/drawingml/2006/picture">
                <pic:pic>
                  <pic:nvPicPr>
                    <pic:cNvPr descr="wireframes/wf-06-details.png" id="75" name="Picture"/>
                    <pic:cNvPicPr>
                      <a:picLocks noChangeArrowheads="1" noChangeAspect="1"/>
                    </pic:cNvPicPr>
                  </pic:nvPicPr>
                  <pic:blipFill>
                    <a:blip r:embed="rId73"/>
                    <a:stretch>
                      <a:fillRect/>
                    </a:stretch>
                  </pic:blipFill>
                  <pic:spPr bwMode="auto">
                    <a:xfrm>
                      <a:off x="0" y="0"/>
                      <a:ext cx="5334000" cy="3781806"/>
                    </a:xfrm>
                    <a:prstGeom prst="rect">
                      <a:avLst/>
                    </a:prstGeom>
                    <a:noFill/>
                    <a:ln w="9525">
                      <a:noFill/>
                      <a:headEnd/>
                      <a:tailEnd/>
                    </a:ln>
                  </pic:spPr>
                </pic:pic>
              </a:graphicData>
            </a:graphic>
          </wp:inline>
        </w:drawing>
      </w:r>
    </w:p>
    <w:p>
      <w:pPr>
        <w:pStyle w:val="BodyText"/>
      </w:pPr>
      <w:r>
        <w:rPr>
          <w:b/>
          <w:bCs/>
        </w:rPr>
        <w:t xml:space="preserve">Figure 4.16: Finding Details Screen — pre-implementation wireframe.</w:t>
      </w:r>
      <w:r>
        <w:t xml:space="preserve"> </w:t>
      </w:r>
      <w:r>
        <w:rPr>
          <w:i/>
          <w:iCs/>
        </w:rPr>
        <w:t xml:space="preserve">Full per-finding rationale: description, CVSS/CWE, ML prediction, confidence score with its six-factor breakdown, PoC evidence, remediation, and an analyst reclassify control.</w:t>
      </w:r>
    </w:p>
    <w:bookmarkEnd w:id="76"/>
    <w:bookmarkStart w:id="80" w:name="Xfe4b3d2a1603b4266f0d9d4011d3a335f86431b"/>
    <w:p>
      <w:pPr>
        <w:pStyle w:val="Heading3"/>
      </w:pPr>
      <w:r>
        <w:t xml:space="preserve">4.4.4 Storyboard</w:t>
      </w:r>
    </w:p>
    <w:p>
      <w:pPr>
        <w:pStyle w:val="FirstParagraph"/>
      </w:pPr>
      <w:r>
        <w:t xml:space="preserve">Figure 4.17 summarises the intended user journey through the interface, from authentication to the final report.</w:t>
      </w:r>
    </w:p>
    <w:p>
      <w:pPr>
        <w:pStyle w:val="BodyText"/>
      </w:pPr>
      <w:r>
        <w:drawing>
          <wp:inline>
            <wp:extent cx="5334000" cy="222587"/>
            <wp:effectExtent b="0" l="0" r="0" t="0"/>
            <wp:docPr descr="Figure 4.17: Storyboard — User Journey" title="" id="78" name="Picture"/>
            <a:graphic>
              <a:graphicData uri="http://schemas.openxmlformats.org/drawingml/2006/picture">
                <pic:pic>
                  <pic:nvPicPr>
                    <pic:cNvPr descr="diagrams/diagram-11.png" id="79" name="Picture"/>
                    <pic:cNvPicPr>
                      <a:picLocks noChangeArrowheads="1" noChangeAspect="1"/>
                    </pic:cNvPicPr>
                  </pic:nvPicPr>
                  <pic:blipFill>
                    <a:blip r:embed="rId77"/>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4.17: Storyboard — User Journey</w:t>
      </w:r>
    </w:p>
    <w:p>
      <w:r>
        <w:pict>
          <v:rect style="width:0;height:1.5pt" o:hralign="center" o:hrstd="t" o:hr="t"/>
        </w:pict>
      </w:r>
    </w:p>
    <w:bookmarkEnd w:id="80"/>
    <w:bookmarkEnd w:id="81"/>
    <w:bookmarkStart w:id="147" w:name="X91b3a7e34e6a6cb09e8dd74f95685ddbfe6f32d"/>
    <w:p>
      <w:pPr>
        <w:pStyle w:val="Heading2"/>
      </w:pPr>
      <w:r>
        <w:t xml:space="preserve">4.5 Execution</w:t>
      </w:r>
    </w:p>
    <w:bookmarkStart w:id="85"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4.18 shows how the three modes share the engine pipeline and the model while differing in their front end and database.</w:t>
      </w:r>
    </w:p>
    <w:p>
      <w:pPr>
        <w:pStyle w:val="BodyText"/>
      </w:pPr>
      <w:r>
        <w:drawing>
          <wp:inline>
            <wp:extent cx="5334000" cy="1436076"/>
            <wp:effectExtent b="0" l="0" r="0" t="0"/>
            <wp:docPr descr="Figure 4.18: Deployment Diagram — Three Run Modes" title="" id="83" name="Picture"/>
            <a:graphic>
              <a:graphicData uri="http://schemas.openxmlformats.org/drawingml/2006/picture">
                <pic:pic>
                  <pic:nvPicPr>
                    <pic:cNvPr descr="diagrams/diagram-12.png" id="84" name="Picture"/>
                    <pic:cNvPicPr>
                      <a:picLocks noChangeArrowheads="1" noChangeAspect="1"/>
                    </pic:cNvPicPr>
                  </pic:nvPicPr>
                  <pic:blipFill>
                    <a:blip r:embed="rId82"/>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4.18: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85"/>
    <w:bookmarkStart w:id="138" w:name="X23ae556abcc7c78b47557acf8f0115359dcfbb9"/>
    <w:p>
      <w:pPr>
        <w:pStyle w:val="Heading3"/>
      </w:pPr>
      <w:r>
        <w:t xml:space="preserve">4.5.2 Implementation of the Pipeline Engines</w:t>
      </w:r>
    </w:p>
    <w:p>
      <w:pPr>
        <w:pStyle w:val="FirstParagraph"/>
      </w:pPr>
      <w:r>
        <w:t xml:space="preserve">When a report is ingested — whether by upload, by the command-line interface, or by an Auto Scan — the engines execute in a fixed order, each reading and writing through the ORM:</w:t>
      </w:r>
    </w:p>
    <w:p>
      <w:pPr>
        <w:pStyle w:val="BodyText"/>
      </w:pPr>
      <w:r>
        <w:rPr>
          <w:rStyle w:val="VerbatimChar"/>
        </w:rPr>
        <w:t xml:space="preserve">normalisation → deduplication → cwe_mapper → nvd_enrichment → cwe_cvss_enrichment → ml/predictor → confidence_engine → (optional) poc_validator → report_generator</w:t>
      </w:r>
    </w:p>
    <w:p>
      <w:pPr>
        <w:pStyle w:val="BodyText"/>
      </w:pPr>
      <w:r>
        <w:t xml:space="preserve">The ordering is not arbitrary; each stage depends on the outputs of the previous ones. The remainder of this section walks through the implementation of each engine in this order, presenting the essential code and explaining how it works. (The route that wires the engines together is shown in §4.5.4.)</w:t>
      </w:r>
    </w:p>
    <w:bookmarkStart w:id="89" w:name="Xbdfcf480f175ce15e4a2fd3a422c1366e4d5db3"/>
    <w:p>
      <w:pPr>
        <w:pStyle w:val="Heading4"/>
      </w:pPr>
      <w:r>
        <w:t xml:space="preserve">4.5.2.1 Scanner Parsing</w:t>
      </w:r>
    </w:p>
    <w:p>
      <w:pPr>
        <w:pStyle w:val="FirstParagraph"/>
      </w:pPr>
      <w:r>
        <w:t xml:space="preserve">Every scanner emits a different native format — ZAP produces XML, Nuclei produces JSON Lines, and Nessus produces its own</w:t>
      </w:r>
      <w:r>
        <w:t xml:space="preserve"> </w:t>
      </w:r>
      <w:r>
        <w:rPr>
          <w:rStyle w:val="VerbatimChar"/>
        </w:rPr>
        <w:t xml:space="preserve">.nessus</w:t>
      </w:r>
      <w:r>
        <w:t xml:space="preserve"> </w:t>
      </w:r>
      <w:r>
        <w:t xml:space="preserve">XML — so the first stage converts each into a common</w:t>
      </w:r>
      <w:r>
        <w:t xml:space="preserve"> </w:t>
      </w:r>
      <w:r>
        <w:rPr>
          <w:rStyle w:val="VerbatimChar"/>
        </w:rPr>
        <w:t xml:space="preserve">Vulnerability</w:t>
      </w:r>
      <w:r>
        <w:t xml:space="preserve"> </w:t>
      </w:r>
      <w:r>
        <w:t xml:space="preserve">record. Figure 4.19 shows the dispatch function.</w:t>
      </w:r>
    </w:p>
    <w:p>
      <w:pPr>
        <w:pStyle w:val="BodyText"/>
      </w:pPr>
      <w:r>
        <w:drawing>
          <wp:inline>
            <wp:extent cx="5334000" cy="2183580"/>
            <wp:effectExtent b="0" l="0" r="0" t="0"/>
            <wp:docPr descr="Scanner-parser dispatch" title="" id="87" name="Picture"/>
            <a:graphic>
              <a:graphicData uri="http://schemas.openxmlformats.org/drawingml/2006/picture">
                <pic:pic>
                  <pic:nvPicPr>
                    <pic:cNvPr descr="images/code-parsing.png" id="88" name="Picture"/>
                    <pic:cNvPicPr>
                      <a:picLocks noChangeArrowheads="1" noChangeAspect="1"/>
                    </pic:cNvPicPr>
                  </pic:nvPicPr>
                  <pic:blipFill>
                    <a:blip r:embed="rId86"/>
                    <a:stretch>
                      <a:fillRect/>
                    </a:stretch>
                  </pic:blipFill>
                  <pic:spPr bwMode="auto">
                    <a:xfrm>
                      <a:off x="0" y="0"/>
                      <a:ext cx="5334000" cy="2183580"/>
                    </a:xfrm>
                    <a:prstGeom prst="rect">
                      <a:avLst/>
                    </a:prstGeom>
                    <a:noFill/>
                    <a:ln w="9525">
                      <a:noFill/>
                      <a:headEnd/>
                      <a:tailEnd/>
                    </a:ln>
                  </pic:spPr>
                </pic:pic>
              </a:graphicData>
            </a:graphic>
          </wp:inline>
        </w:drawing>
      </w:r>
    </w:p>
    <w:p>
      <w:pPr>
        <w:pStyle w:val="BodyText"/>
      </w:pPr>
      <w:r>
        <w:rPr>
          <w:b/>
          <w:bCs/>
        </w:rPr>
        <w:t xml:space="preserve">Figure 4.19: Scanner-Parser Dispatch (parsers/</w:t>
      </w:r>
      <w:r>
        <w:rPr>
          <w:b/>
          <w:b/>
          <w:bCs/>
          <w:bCs/>
        </w:rPr>
        <w:t xml:space="preserve">init</w:t>
      </w:r>
      <w:r>
        <w:rPr>
          <w:b/>
          <w:bCs/>
        </w:rPr>
        <w:t xml:space="preserve">.py)</w:t>
      </w:r>
    </w:p>
    <w:p>
      <w:pPr>
        <w:pStyle w:val="BodyText"/>
      </w:pPr>
      <w:r>
        <w:rPr>
          <w:rStyle w:val="VerbatimChar"/>
        </w:rPr>
        <w:t xml:space="preserve">parse_scanner_file</w:t>
      </w:r>
      <w:r>
        <w:t xml:space="preserve"> </w:t>
      </w:r>
      <w:r>
        <w:t xml:space="preserve">selects the appropriate parser class for the declared scanner type from a registry, instantiates it with the upload record, and delegates to the parser's</w:t>
      </w:r>
      <w:r>
        <w:t xml:space="preserve"> </w:t>
      </w:r>
      <w:r>
        <w:rPr>
          <w:rStyle w:val="VerbatimChar"/>
        </w:rPr>
        <w:t xml:space="preserve">parse</w:t>
      </w:r>
      <w:r>
        <w:t xml:space="preserve"> </w:t>
      </w:r>
      <w:r>
        <w:t xml:space="preserve">method, which reads the file, saves one</w:t>
      </w:r>
      <w:r>
        <w:t xml:space="preserve"> </w:t>
      </w:r>
      <w:r>
        <w:rPr>
          <w:rStyle w:val="VerbatimChar"/>
        </w:rPr>
        <w:t xml:space="preserve">Vulnerability</w:t>
      </w:r>
      <w:r>
        <w:t xml:space="preserve"> </w:t>
      </w:r>
      <w:r>
        <w:t xml:space="preserve">row per finding, and returns the count. Each concrete parser (</w:t>
      </w:r>
      <w:r>
        <w:rPr>
          <w:rStyle w:val="VerbatimChar"/>
        </w:rPr>
        <w:t xml:space="preserve">ZapParser</w:t>
      </w:r>
      <w:r>
        <w:t xml:space="preserve">,</w:t>
      </w:r>
      <w:r>
        <w:t xml:space="preserve"> </w:t>
      </w:r>
      <w:r>
        <w:rPr>
          <w:rStyle w:val="VerbatimChar"/>
        </w:rPr>
        <w:t xml:space="preserve">NucleiParser</w:t>
      </w:r>
      <w:r>
        <w:t xml:space="preserve">,</w:t>
      </w:r>
      <w:r>
        <w:t xml:space="preserve"> </w:t>
      </w:r>
      <w:r>
        <w:rPr>
          <w:rStyle w:val="VerbatimChar"/>
        </w:rPr>
        <w:t xml:space="preserve">NessusParser</w:t>
      </w:r>
      <w:r>
        <w:t xml:space="preserve">) understands only its own format and produces the same target type. This is the</w:t>
      </w:r>
      <w:r>
        <w:t xml:space="preserve"> </w:t>
      </w:r>
      <w:r>
        <w:rPr>
          <w:i/>
          <w:iCs/>
        </w:rPr>
        <w:t xml:space="preserve">strategy pattern</w:t>
      </w:r>
      <w:r>
        <w:t xml:space="preserve">: adding support for a new scanner is a matter of writing one parser class and registering it, with no change to any downstream engine — the practical expression of the "separation of scanning from triage" principle from §4.2.1.</w:t>
      </w:r>
    </w:p>
    <w:bookmarkEnd w:id="89"/>
    <w:bookmarkStart w:id="93" w:name="Xc438c1e55f8c0357d519f7249fc51e9f69775bd"/>
    <w:p>
      <w:pPr>
        <w:pStyle w:val="Heading4"/>
      </w:pPr>
      <w:r>
        <w:t xml:space="preserve">4.5.2.2 Normalisation</w:t>
      </w:r>
    </w:p>
    <w:p>
      <w:pPr>
        <w:pStyle w:val="FirstParagraph"/>
      </w:pPr>
      <w:r>
        <w:t xml:space="preserve">Normalisation converts each raw</w:t>
      </w:r>
      <w:r>
        <w:t xml:space="preserve"> </w:t>
      </w:r>
      <w:r>
        <w:rPr>
          <w:rStyle w:val="VerbatimChar"/>
        </w:rPr>
        <w:t xml:space="preserve">Vulnerability</w:t>
      </w:r>
      <w:r>
        <w:t xml:space="preserve"> </w:t>
      </w:r>
      <w:r>
        <w:t xml:space="preserve">into the canonical</w:t>
      </w:r>
      <w:r>
        <w:t xml:space="preserve"> </w:t>
      </w:r>
      <w:r>
        <w:rPr>
          <w:rStyle w:val="VerbatimChar"/>
        </w:rPr>
        <w:t xml:space="preserve">NormalizedFinding</w:t>
      </w:r>
      <w:r>
        <w:t xml:space="preserve"> </w:t>
      </w:r>
      <w:r>
        <w:t xml:space="preserve">that the rest of the pipeline operates on, and it is the single chokepoint at which the data is cleaned. Figure 4.20 shows the core of the transformation.</w:t>
      </w:r>
    </w:p>
    <w:p>
      <w:pPr>
        <w:pStyle w:val="BodyText"/>
      </w:pPr>
      <w:r>
        <w:drawing>
          <wp:inline>
            <wp:extent cx="5334000" cy="3677405"/>
            <wp:effectExtent b="0" l="0" r="0" t="0"/>
            <wp:docPr descr="Building the NormalizedFinding" title="" id="91" name="Picture"/>
            <a:graphic>
              <a:graphicData uri="http://schemas.openxmlformats.org/drawingml/2006/picture">
                <pic:pic>
                  <pic:nvPicPr>
                    <pic:cNvPr descr="images/code-normalisation.png" id="92" name="Picture"/>
                    <pic:cNvPicPr>
                      <a:picLocks noChangeArrowheads="1" noChangeAspect="1"/>
                    </pic:cNvPicPr>
                  </pic:nvPicPr>
                  <pic:blipFill>
                    <a:blip r:embed="rId90"/>
                    <a:stretch>
                      <a:fillRect/>
                    </a:stretch>
                  </pic:blipFill>
                  <pic:spPr bwMode="auto">
                    <a:xfrm>
                      <a:off x="0" y="0"/>
                      <a:ext cx="5334000" cy="3677405"/>
                    </a:xfrm>
                    <a:prstGeom prst="rect">
                      <a:avLst/>
                    </a:prstGeom>
                    <a:noFill/>
                    <a:ln w="9525">
                      <a:noFill/>
                      <a:headEnd/>
                      <a:tailEnd/>
                    </a:ln>
                  </pic:spPr>
                </pic:pic>
              </a:graphicData>
            </a:graphic>
          </wp:inline>
        </w:drawing>
      </w:r>
    </w:p>
    <w:p>
      <w:pPr>
        <w:pStyle w:val="BodyText"/>
      </w:pPr>
      <w:r>
        <w:rPr>
          <w:b/>
          <w:bCs/>
        </w:rPr>
        <w:t xml:space="preserve">Figure 4.20: Normalisation — Building the Canonical Finding (normalisation.py)</w:t>
      </w:r>
    </w:p>
    <w:p>
      <w:pPr>
        <w:pStyle w:val="BodyText"/>
      </w:pPr>
      <w:r>
        <w:t xml:space="preserve">The method first computes the</w:t>
      </w:r>
      <w:r>
        <w:t xml:space="preserve"> </w:t>
      </w:r>
      <w:r>
        <w:rPr>
          <w:rStyle w:val="VerbatimChar"/>
        </w:rPr>
        <w:t xml:space="preserve">group_hash</w:t>
      </w:r>
      <w:r>
        <w:t xml:space="preserve"> </w:t>
      </w:r>
      <w:r>
        <w:t xml:space="preserve">(via the deduplication engine, §4.5.2.3) over the finding's identifying fields, then constructs the</w:t>
      </w:r>
      <w:r>
        <w:t xml:space="preserve"> </w:t>
      </w:r>
      <w:r>
        <w:rPr>
          <w:rStyle w:val="VerbatimChar"/>
        </w:rPr>
        <w:t xml:space="preserve">NormalizedFinding</w:t>
      </w:r>
      <w:r>
        <w:t xml:space="preserve">. Two data-cleaning steps happen here so that every later stage sees clean data:</w:t>
      </w:r>
      <w:r>
        <w:t xml:space="preserve"> </w:t>
      </w:r>
      <w:r>
        <w:rPr>
          <w:rStyle w:val="VerbatimChar"/>
        </w:rPr>
        <w:t xml:space="preserve">extract_cwe_id</w:t>
      </w:r>
      <w:r>
        <w:t xml:space="preserve"> </w:t>
      </w:r>
      <w:r>
        <w:t xml:space="preserve">is run over the scanner's own CWE value so that non-informative placeholders such as</w:t>
      </w:r>
      <w:r>
        <w:t xml:space="preserve"> </w:t>
      </w:r>
      <w:r>
        <w:rPr>
          <w:rStyle w:val="VerbatimChar"/>
        </w:rPr>
        <w:t xml:space="preserve">CWE-0</w:t>
      </w:r>
      <w:r>
        <w:t xml:space="preserve"> </w:t>
      </w:r>
      <w:r>
        <w:t xml:space="preserve">are dropped to</w:t>
      </w:r>
      <w:r>
        <w:t xml:space="preserve"> </w:t>
      </w:r>
      <w:r>
        <w:rPr>
          <w:rStyle w:val="VerbatimChar"/>
        </w:rPr>
        <w:t xml:space="preserve">None</w:t>
      </w:r>
      <w:r>
        <w:t xml:space="preserve"> </w:t>
      </w:r>
      <w:r>
        <w:t xml:space="preserve">(allowing the CWE mapper or NVD to fill a real class), and</w:t>
      </w:r>
      <w:r>
        <w:t xml:space="preserve"> </w:t>
      </w:r>
      <w:r>
        <w:rPr>
          <w:rStyle w:val="VerbatimChar"/>
        </w:rPr>
        <w:t xml:space="preserve">html_to_text</w:t>
      </w:r>
      <w:r>
        <w:t xml:space="preserve"> </w:t>
      </w:r>
      <w:r>
        <w:t xml:space="preserve">strips the HTML markup that scanners such as ZAP embed in their descriptions and solutions, so the interface and the PDF report display readable text rather than raw</w:t>
      </w:r>
      <w:r>
        <w:t xml:space="preserve"> </w:t>
      </w:r>
      <w:r>
        <w:rPr>
          <w:rStyle w:val="VerbatimChar"/>
        </w:rPr>
        <w:t xml:space="preserve">&lt;p&gt;</w:t>
      </w:r>
      <w:r>
        <w:t xml:space="preserve"> </w:t>
      </w:r>
      <w:r>
        <w:t xml:space="preserve">tags. The</w:t>
      </w:r>
      <w:r>
        <w:t xml:space="preserve"> </w:t>
      </w:r>
      <w:r>
        <w:rPr>
          <w:rStyle w:val="VerbatimChar"/>
        </w:rPr>
        <w:t xml:space="preserve">scanner_count</w:t>
      </w:r>
      <w:r>
        <w:t xml:space="preserve"> </w:t>
      </w:r>
      <w:r>
        <w:t xml:space="preserve">is initialised to 1 and</w:t>
      </w:r>
      <w:r>
        <w:t xml:space="preserve"> </w:t>
      </w:r>
      <w:r>
        <w:rPr>
          <w:rStyle w:val="VerbatimChar"/>
        </w:rPr>
        <w:t xml:space="preserve">scanner_sources</w:t>
      </w:r>
      <w:r>
        <w:t xml:space="preserve"> </w:t>
      </w:r>
      <w:r>
        <w:t xml:space="preserve">records the originating scanner, both of which the deduplication and confidence stages later use.</w:t>
      </w:r>
    </w:p>
    <w:bookmarkEnd w:id="93"/>
    <w:bookmarkStart w:id="97" w:name="X7be591afe95c2511561b53376ab9fd8754b87c1"/>
    <w:p>
      <w:pPr>
        <w:pStyle w:val="Heading4"/>
      </w:pPr>
      <w:r>
        <w:t xml:space="preserve">4.5.2.3 Deduplication</w:t>
      </w:r>
    </w:p>
    <w:p>
      <w:pPr>
        <w:pStyle w:val="FirstParagraph"/>
      </w:pPr>
      <w:r>
        <w:t xml:space="preserve">A single issue is frequently reported more than once — by the same scanner on different URLs, or by two different scanners. Deduplication collapses these into one canonical finding and, crucially, records the corroboration. Figure 4.21 shows the hashing and merging code.</w:t>
      </w:r>
    </w:p>
    <w:p>
      <w:pPr>
        <w:pStyle w:val="BodyText"/>
      </w:pPr>
      <w:r>
        <w:drawing>
          <wp:inline>
            <wp:extent cx="5334000" cy="4944964"/>
            <wp:effectExtent b="0" l="0" r="0" t="0"/>
            <wp:docPr descr="Group-hash computation and cross-scanner merge" title="" id="95" name="Picture"/>
            <a:graphic>
              <a:graphicData uri="http://schemas.openxmlformats.org/drawingml/2006/picture">
                <pic:pic>
                  <pic:nvPicPr>
                    <pic:cNvPr descr="images/code-dedup.png" id="96" name="Picture"/>
                    <pic:cNvPicPr>
                      <a:picLocks noChangeArrowheads="1" noChangeAspect="1"/>
                    </pic:cNvPicPr>
                  </pic:nvPicPr>
                  <pic:blipFill>
                    <a:blip r:embed="rId94"/>
                    <a:stretch>
                      <a:fillRect/>
                    </a:stretch>
                  </pic:blipFill>
                  <pic:spPr bwMode="auto">
                    <a:xfrm>
                      <a:off x="0" y="0"/>
                      <a:ext cx="5334000" cy="4944964"/>
                    </a:xfrm>
                    <a:prstGeom prst="rect">
                      <a:avLst/>
                    </a:prstGeom>
                    <a:noFill/>
                    <a:ln w="9525">
                      <a:noFill/>
                      <a:headEnd/>
                      <a:tailEnd/>
                    </a:ln>
                  </pic:spPr>
                </pic:pic>
              </a:graphicData>
            </a:graphic>
          </wp:inline>
        </w:drawing>
      </w:r>
    </w:p>
    <w:p>
      <w:pPr>
        <w:pStyle w:val="BodyText"/>
      </w:pPr>
      <w:r>
        <w:rPr>
          <w:b/>
          <w:bCs/>
        </w:rPr>
        <w:t xml:space="preserve">Figure 4.21: Deduplication — SHA-256 Group Hash and Merge (deduplication.py)</w:t>
      </w:r>
    </w:p>
    <w:p>
      <w:pPr>
        <w:pStyle w:val="BodyText"/>
      </w:pPr>
      <w:r>
        <w:rPr>
          <w:rStyle w:val="VerbatimChar"/>
        </w:rPr>
        <w:t xml:space="preserve">compute_hash</w:t>
      </w:r>
      <w:r>
        <w:t xml:space="preserve"> </w:t>
      </w:r>
      <w:r>
        <w:t xml:space="preserve">normalises the finding's name, URL, and parameter, combines them with the CWE, and returns their SHA-256 digest; this digest is the</w:t>
      </w:r>
      <w:r>
        <w:t xml:space="preserve"> </w:t>
      </w:r>
      <w:r>
        <w:rPr>
          <w:rStyle w:val="VerbatimChar"/>
        </w:rPr>
        <w:t xml:space="preserve">group_hash</w:t>
      </w:r>
      <w:r>
        <w:t xml:space="preserve">.</w:t>
      </w:r>
      <w:r>
        <w:t xml:space="preserve"> </w:t>
      </w:r>
      <w:r>
        <w:rPr>
          <w:rStyle w:val="VerbatimChar"/>
        </w:rPr>
        <w:t xml:space="preserve">merge_duplicates</w:t>
      </w:r>
      <w:r>
        <w:t xml:space="preserve"> </w:t>
      </w:r>
      <w:r>
        <w:t xml:space="preserve">then queries for any</w:t>
      </w:r>
      <w:r>
        <w:t xml:space="preserve"> </w:t>
      </w:r>
      <w:r>
        <w:rPr>
          <w:rStyle w:val="VerbatimChar"/>
        </w:rPr>
        <w:t xml:space="preserve">group_hash</w:t>
      </w:r>
      <w:r>
        <w:t xml:space="preserve"> </w:t>
      </w:r>
      <w:r>
        <w:t xml:space="preserve">shared by more than one finding and merges the duplicates into the first occurrence,</w:t>
      </w:r>
      <w:r>
        <w:t xml:space="preserve"> </w:t>
      </w:r>
      <w:r>
        <w:rPr>
          <w:b/>
          <w:bCs/>
        </w:rPr>
        <w:t xml:space="preserve">incrementing</w:t>
      </w:r>
      <w:r>
        <w:rPr>
          <w:b/>
          <w:bCs/>
        </w:rPr>
        <w:t xml:space="preserve"> </w:t>
      </w:r>
      <w:r>
        <w:rPr>
          <w:rStyle w:val="VerbatimChar"/>
          <w:b/>
          <w:bCs/>
        </w:rPr>
        <w:t xml:space="preserve">scanner_count</w:t>
      </w:r>
      <w:r>
        <w:rPr>
          <w:b/>
          <w:bCs/>
        </w:rPr>
        <w:t xml:space="preserve"> </w:t>
      </w:r>
      <w:r>
        <w:rPr>
          <w:b/>
          <w:bCs/>
        </w:rPr>
        <w:t xml:space="preserve">and combining</w:t>
      </w:r>
      <w:r>
        <w:rPr>
          <w:b/>
          <w:bCs/>
        </w:rPr>
        <w:t xml:space="preserve"> </w:t>
      </w:r>
      <w:r>
        <w:rPr>
          <w:rStyle w:val="VerbatimChar"/>
          <w:b/>
          <w:bCs/>
        </w:rPr>
        <w:t xml:space="preserve">scanner_sources</w:t>
      </w:r>
      <w:r>
        <w:t xml:space="preserve">. The raised</w:t>
      </w:r>
      <w:r>
        <w:t xml:space="preserve"> </w:t>
      </w:r>
      <w:r>
        <w:rPr>
          <w:rStyle w:val="VerbatimChar"/>
        </w:rPr>
        <w:t xml:space="preserve">scanner_count</w:t>
      </w:r>
      <w:r>
        <w:t xml:space="preserve"> </w:t>
      </w:r>
      <w:r>
        <w:t xml:space="preserve">is exactly the cross-tool corroboration signal that the Confidence Engine reads as its highest-weighted factor (§4.5.2.8), so deduplication is not merely tidying — it produces evidence.</w:t>
      </w:r>
    </w:p>
    <w:bookmarkEnd w:id="97"/>
    <w:bookmarkStart w:id="101" w:name="X473f28712003964d423f4b3ae4b099f9e263702"/>
    <w:p>
      <w:pPr>
        <w:pStyle w:val="Heading4"/>
      </w:pPr>
      <w:r>
        <w:t xml:space="preserve">4.5.2.4 CWE Mapping</w:t>
      </w:r>
    </w:p>
    <w:p>
      <w:pPr>
        <w:pStyle w:val="FirstParagraph"/>
      </w:pPr>
      <w:r>
        <w:t xml:space="preserve">When a scanner supplies no weakness class, the CWE mapper assigns one from a curated keyword table so that later stages (the CVSS-vector inference and the confidence factor) have something to work with. Figure 4.22 shows the table and the matching function.</w:t>
      </w:r>
    </w:p>
    <w:p>
      <w:pPr>
        <w:pStyle w:val="BodyText"/>
      </w:pPr>
      <w:r>
        <w:drawing>
          <wp:inline>
            <wp:extent cx="5334000" cy="3670013"/>
            <wp:effectExtent b="0" l="0" r="0" t="0"/>
            <wp:docPr descr="Keyword-to-CWE table and matcher" title="" id="99" name="Picture"/>
            <a:graphic>
              <a:graphicData uri="http://schemas.openxmlformats.org/drawingml/2006/picture">
                <pic:pic>
                  <pic:nvPicPr>
                    <pic:cNvPr descr="images/code-cwe-mapper.png" id="100" name="Picture"/>
                    <pic:cNvPicPr>
                      <a:picLocks noChangeArrowheads="1" noChangeAspect="1"/>
                    </pic:cNvPicPr>
                  </pic:nvPicPr>
                  <pic:blipFill>
                    <a:blip r:embed="rId98"/>
                    <a:stretch>
                      <a:fillRect/>
                    </a:stretch>
                  </pic:blipFill>
                  <pic:spPr bwMode="auto">
                    <a:xfrm>
                      <a:off x="0" y="0"/>
                      <a:ext cx="5334000" cy="3670013"/>
                    </a:xfrm>
                    <a:prstGeom prst="rect">
                      <a:avLst/>
                    </a:prstGeom>
                    <a:noFill/>
                    <a:ln w="9525">
                      <a:noFill/>
                      <a:headEnd/>
                      <a:tailEnd/>
                    </a:ln>
                  </pic:spPr>
                </pic:pic>
              </a:graphicData>
            </a:graphic>
          </wp:inline>
        </w:drawing>
      </w:r>
    </w:p>
    <w:p>
      <w:pPr>
        <w:pStyle w:val="BodyText"/>
      </w:pPr>
      <w:r>
        <w:rPr>
          <w:b/>
          <w:bCs/>
        </w:rPr>
        <w:t xml:space="preserve">Figure 4.22: CWE Mapping — Keyword Table and Matcher (cwe_mapper.py)</w:t>
      </w:r>
    </w:p>
    <w:p>
      <w:pPr>
        <w:pStyle w:val="BodyText"/>
      </w:pPr>
      <w:r>
        <w:rPr>
          <w:rStyle w:val="VerbatimChar"/>
        </w:rPr>
        <w:t xml:space="preserve">KEYWORD_CWE_MAP</w:t>
      </w:r>
      <w:r>
        <w:t xml:space="preserve"> </w:t>
      </w:r>
      <w:r>
        <w:t xml:space="preserve">is an ordered list of</w:t>
      </w:r>
      <w:r>
        <w:t xml:space="preserve"> </w:t>
      </w:r>
      <w:r>
        <w:rPr>
          <w:i/>
          <w:iCs/>
        </w:rPr>
        <w:t xml:space="preserve">(regular expression, CWE)</w:t>
      </w:r>
      <w:r>
        <w:t xml:space="preserve"> </w:t>
      </w:r>
      <w:r>
        <w:t xml:space="preserve">pairs covering fifty-eight common web and infrastructure weaknesses.</w:t>
      </w:r>
      <w:r>
        <w:t xml:space="preserve"> </w:t>
      </w:r>
      <w:r>
        <w:rPr>
          <w:rStyle w:val="VerbatimChar"/>
        </w:rPr>
        <w:t xml:space="preserve">_keyword_match</w:t>
      </w:r>
      <w:r>
        <w:t xml:space="preserve"> </w:t>
      </w:r>
      <w:r>
        <w:t xml:space="preserve">returns the CWE of the first pattern that matches the finding's title and description. Two design points are essential: the patterns are ordered</w:t>
      </w:r>
      <w:r>
        <w:t xml:space="preserve"> </w:t>
      </w:r>
      <w:r>
        <w:rPr>
          <w:b/>
          <w:bCs/>
        </w:rPr>
        <w:t xml:space="preserve">specific before general</w:t>
      </w:r>
      <w:r>
        <w:t xml:space="preserve">, because the first match wins, so a specific alert cannot be swallowed by a broader one; and short acronyms are anchored with word boundaries (for example</w:t>
      </w:r>
      <w:r>
        <w:t xml:space="preserve"> </w:t>
      </w:r>
      <w:r>
        <w:rPr>
          <w:rStyle w:val="VerbatimChar"/>
        </w:rPr>
        <w:t xml:space="preserve">\brce\b</w:t>
      </w:r>
      <w:r>
        <w:t xml:space="preserve">) so that they do not match as substrings — this prevents a finding such as "Source Code Disclosure" from being mis-mapped to remote-code-execution because "sou</w:t>
      </w:r>
      <w:r>
        <w:rPr>
          <w:b/>
          <w:bCs/>
        </w:rPr>
        <w:t xml:space="preserve">rce</w:t>
      </w:r>
      <w:r>
        <w:t xml:space="preserve">" contains "rce".</w:t>
      </w:r>
    </w:p>
    <w:bookmarkEnd w:id="101"/>
    <w:bookmarkStart w:id="105" w:name="Xe1abe990cc56514e7f0542e8b01d4f9f1b3486b"/>
    <w:p>
      <w:pPr>
        <w:pStyle w:val="Heading4"/>
      </w:pPr>
      <w:r>
        <w:t xml:space="preserve">4.5.2.5 NVD Enrichment</w:t>
      </w:r>
    </w:p>
    <w:p>
      <w:pPr>
        <w:pStyle w:val="FirstParagraph"/>
      </w:pPr>
      <w:r>
        <w:t xml:space="preserve">For findings that carry a CVE identifier, the NVD enrichment engine fills the authoritative CVSS vector and back-fills a weakness class from the National Vulnerability Database — working entirely offline from local compressed feeds. Figure 4.23 shows the CWE extraction and the streaming feed reader.</w:t>
      </w:r>
    </w:p>
    <w:p>
      <w:pPr>
        <w:pStyle w:val="BodyText"/>
      </w:pPr>
      <w:r>
        <w:drawing>
          <wp:inline>
            <wp:extent cx="5334000" cy="5219732"/>
            <wp:effectExtent b="0" l="0" r="0" t="0"/>
            <wp:docPr descr="NVD CWE extraction and streaming feed reader" title="" id="103" name="Picture"/>
            <a:graphic>
              <a:graphicData uri="http://schemas.openxmlformats.org/drawingml/2006/picture">
                <pic:pic>
                  <pic:nvPicPr>
                    <pic:cNvPr descr="images/code-nvd.png" id="104" name="Picture"/>
                    <pic:cNvPicPr>
                      <a:picLocks noChangeArrowheads="1" noChangeAspect="1"/>
                    </pic:cNvPicPr>
                  </pic:nvPicPr>
                  <pic:blipFill>
                    <a:blip r:embed="rId102"/>
                    <a:stretch>
                      <a:fillRect/>
                    </a:stretch>
                  </pic:blipFill>
                  <pic:spPr bwMode="auto">
                    <a:xfrm>
                      <a:off x="0" y="0"/>
                      <a:ext cx="5334000" cy="5219732"/>
                    </a:xfrm>
                    <a:prstGeom prst="rect">
                      <a:avLst/>
                    </a:prstGeom>
                    <a:noFill/>
                    <a:ln w="9525">
                      <a:noFill/>
                      <a:headEnd/>
                      <a:tailEnd/>
                    </a:ln>
                  </pic:spPr>
                </pic:pic>
              </a:graphicData>
            </a:graphic>
          </wp:inline>
        </w:drawing>
      </w:r>
    </w:p>
    <w:p>
      <w:pPr>
        <w:pStyle w:val="BodyText"/>
      </w:pPr>
      <w:r>
        <w:rPr>
          <w:b/>
          <w:bCs/>
        </w:rPr>
        <w:t xml:space="preserve">Figure 4.23: NVD Enrichment — CWE Back-fill and .xz Streaming (nvd_enrichment.py)</w:t>
      </w:r>
    </w:p>
    <w:p>
      <w:pPr>
        <w:pStyle w:val="BodyText"/>
      </w:pPr>
      <w:r>
        <w:rPr>
          <w:rStyle w:val="VerbatimChar"/>
        </w:rPr>
        <w:t xml:space="preserve">_cwe_from_weaknesses</w:t>
      </w:r>
      <w:r>
        <w:t xml:space="preserve"> </w:t>
      </w:r>
      <w:r>
        <w:t xml:space="preserve">extracts a</w:t>
      </w:r>
      <w:r>
        <w:t xml:space="preserve"> </w:t>
      </w:r>
      <w:r>
        <w:rPr>
          <w:rStyle w:val="VerbatimChar"/>
        </w:rPr>
        <w:t xml:space="preserve">CWE-NNN</w:t>
      </w:r>
      <w:r>
        <w:t xml:space="preserve"> </w:t>
      </w:r>
      <w:r>
        <w:t xml:space="preserve">identifier from the NVD record's</w:t>
      </w:r>
      <w:r>
        <w:t xml:space="preserve"> </w:t>
      </w:r>
      <w:r>
        <w:rPr>
          <w:rStyle w:val="VerbatimChar"/>
        </w:rPr>
        <w:t xml:space="preserve">weaknesses</w:t>
      </w:r>
      <w:r>
        <w:t xml:space="preserve"> </w:t>
      </w:r>
      <w:r>
        <w:t xml:space="preserve">block, preferring the entry marked "Primary" and ignoring non-CWE markers.</w:t>
      </w:r>
      <w:r>
        <w:t xml:space="preserve"> </w:t>
      </w:r>
      <w:r>
        <w:rPr>
          <w:rStyle w:val="VerbatimChar"/>
        </w:rPr>
        <w:t xml:space="preserve">_scan_feed</w:t>
      </w:r>
      <w:r>
        <w:t xml:space="preserve"> </w:t>
      </w:r>
      <w:r>
        <w:t xml:space="preserve">reads the feeds with the</w:t>
      </w:r>
      <w:r>
        <w:t xml:space="preserve"> </w:t>
      </w:r>
      <w:r>
        <w:rPr>
          <w:rStyle w:val="VerbatimChar"/>
        </w:rPr>
        <w:t xml:space="preserve">ijson</w:t>
      </w:r>
      <w:r>
        <w:t xml:space="preserve"> </w:t>
      </w:r>
      <w:r>
        <w:t xml:space="preserve">streaming parser directly from their compressed</w:t>
      </w:r>
      <w:r>
        <w:t xml:space="preserve"> </w:t>
      </w:r>
      <w:r>
        <w:rPr>
          <w:rStyle w:val="VerbatimChar"/>
        </w:rPr>
        <w:t xml:space="preserve">.xz</w:t>
      </w:r>
      <w:r>
        <w:t xml:space="preserve"> </w:t>
      </w:r>
      <w:r>
        <w:t xml:space="preserve">form, keeping only the CVE identifiers actually being looked up. This constant-memory approach is a deliberate constraint: the feeds contain over one hundred thousand records and must never be decompressed to disk, so streaming is the only viable technique. The live NVD API is retained only as a fallback when a CVE is absent from the local feeds.</w:t>
      </w:r>
    </w:p>
    <w:bookmarkEnd w:id="105"/>
    <w:bookmarkStart w:id="109" w:name="X7238be38575327c7928f0732eaa64031f17a4ad"/>
    <w:p>
      <w:pPr>
        <w:pStyle w:val="Heading4"/>
      </w:pPr>
      <w:r>
        <w:t xml:space="preserve">4.5.2.6 CWE→CVSS Enrichment</w:t>
      </w:r>
    </w:p>
    <w:p>
      <w:pPr>
        <w:pStyle w:val="FirstParagraph"/>
      </w:pPr>
      <w:r>
        <w:t xml:space="preserve">Web-application findings frequently have a weakness class but no CVSS vector, which would leave the machine-learning model with an all-zero feature vector. This engine derives a plausible, data-driven vector from the CWE. Figure 4.24 shows the enrichment method.</w:t>
      </w:r>
    </w:p>
    <w:p>
      <w:pPr>
        <w:pStyle w:val="BodyText"/>
      </w:pPr>
      <w:r>
        <w:drawing>
          <wp:inline>
            <wp:extent cx="5334000" cy="2756442"/>
            <wp:effectExtent b="0" l="0" r="0" t="0"/>
            <wp:docPr descr="CWE-to-CVSS vector inference" title="" id="107" name="Picture"/>
            <a:graphic>
              <a:graphicData uri="http://schemas.openxmlformats.org/drawingml/2006/picture">
                <pic:pic>
                  <pic:nvPicPr>
                    <pic:cNvPr descr="images/code-cwe-cvss.png" id="108" name="Picture"/>
                    <pic:cNvPicPr>
                      <a:picLocks noChangeArrowheads="1" noChangeAspect="1"/>
                    </pic:cNvPicPr>
                  </pic:nvPicPr>
                  <pic:blipFill>
                    <a:blip r:embed="rId106"/>
                    <a:stretch>
                      <a:fillRect/>
                    </a:stretch>
                  </pic:blipFill>
                  <pic:spPr bwMode="auto">
                    <a:xfrm>
                      <a:off x="0" y="0"/>
                      <a:ext cx="5334000" cy="2756442"/>
                    </a:xfrm>
                    <a:prstGeom prst="rect">
                      <a:avLst/>
                    </a:prstGeom>
                    <a:noFill/>
                    <a:ln w="9525">
                      <a:noFill/>
                      <a:headEnd/>
                      <a:tailEnd/>
                    </a:ln>
                  </pic:spPr>
                </pic:pic>
              </a:graphicData>
            </a:graphic>
          </wp:inline>
        </w:drawing>
      </w:r>
    </w:p>
    <w:p>
      <w:pPr>
        <w:pStyle w:val="BodyText"/>
      </w:pPr>
      <w:r>
        <w:rPr>
          <w:b/>
          <w:bCs/>
        </w:rPr>
        <w:t xml:space="preserve">Figure 4.24: CWE→CVSS Vector Inference (cwe_cvss_enrichment.py)</w:t>
      </w:r>
    </w:p>
    <w:p>
      <w:pPr>
        <w:pStyle w:val="BodyText"/>
      </w:pPr>
      <w:r>
        <w:rPr>
          <w:rStyle w:val="VerbatimChar"/>
        </w:rPr>
        <w:t xml:space="preserve">enrich_finding</w:t>
      </w:r>
      <w:r>
        <w:t xml:space="preserve"> </w:t>
      </w:r>
      <w:r>
        <w:t xml:space="preserve">acts only when</w:t>
      </w:r>
      <w:r>
        <w:t xml:space="preserve"> </w:t>
      </w:r>
      <w:r>
        <w:rPr>
          <w:rStyle w:val="VerbatimChar"/>
        </w:rPr>
        <w:t xml:space="preserve">attack_vector</w:t>
      </w:r>
      <w:r>
        <w:t xml:space="preserve"> </w:t>
      </w:r>
      <w:r>
        <w:t xml:space="preserve">is still unset, so a genuine vector supplied by a scanner or by NVD always takes precedence. It looks up a modal CVSS vector for the finding's CWE — mined offline from the NVD feeds — applies the individual sub-metrics to the finding, and flags</w:t>
      </w:r>
      <w:r>
        <w:t xml:space="preserve"> </w:t>
      </w:r>
      <w:r>
        <w:rPr>
          <w:rStyle w:val="VerbatimChar"/>
        </w:rPr>
        <w:t xml:space="preserve">_vector_inferred</w:t>
      </w:r>
      <w:r>
        <w:t xml:space="preserve"> </w:t>
      </w:r>
      <w:r>
        <w:t xml:space="preserve">so that the provenance of the vector is recorded and can be noted in the confidence rationale. This step is what allows a vector-less ZAP finding such as a SQL injection to be prioritised as High by the model rather than defaulting to Low.</w:t>
      </w:r>
    </w:p>
    <w:bookmarkEnd w:id="109"/>
    <w:bookmarkStart w:id="119" w:name="Xbd3597ea3cf465b4e44519a10656f9ef4af3d85"/>
    <w:p>
      <w:pPr>
        <w:pStyle w:val="Heading4"/>
      </w:pPr>
      <w:r>
        <w:t xml:space="preserve">4.5.2.7 Machine-Learning Prioritisation</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and predicts the severity band from the eight CVSS sub-metrics and the CWE. On a held-out set of 21,697 real records the model achieves an</w:t>
      </w:r>
      <w:r>
        <w:t xml:space="preserve"> </w:t>
      </w:r>
      <w:r>
        <w:rPr>
          <w:b/>
          <w:bCs/>
        </w:rPr>
        <w:t xml:space="preserve">accuracy of 0.9968 and a macro-averaged F1 of 0.9941</w:t>
      </w:r>
      <w:r>
        <w:t xml:space="preserve">. Table 4.1 lists the tools and libraries used to build and run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4.25 shows the feature definition. The model is given the eight CVSS v3 sub-metrics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111" name="Picture"/>
            <a:graphic>
              <a:graphicData uri="http://schemas.openxmlformats.org/drawingml/2006/picture">
                <pic:pic>
                  <pic:nvPicPr>
                    <pic:cNvPr descr="images/code-ml-features.png" id="112" name="Picture"/>
                    <pic:cNvPicPr>
                      <a:picLocks noChangeArrowheads="1" noChangeAspect="1"/>
                    </pic:cNvPicPr>
                  </pic:nvPicPr>
                  <pic:blipFill>
                    <a:blip r:embed="rId110"/>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4.25: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4.26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so that even a bare web finding yields usable features. The</w:t>
      </w:r>
      <w:r>
        <w:t xml:space="preserve"> </w:t>
      </w:r>
      <w:r>
        <w:rPr>
          <w:rStyle w:val="VerbatimChar"/>
        </w:rPr>
        <w:t xml:space="preserve">predict_finding</w:t>
      </w:r>
      <w:r>
        <w:t xml:space="preserve"> </w:t>
      </w:r>
      <w:r>
        <w:t xml:space="preserve">method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which are persisted so that the interface can display the model's confidence in each band (the "ML Priority Prediction" panel of Figure 4.41).</w:t>
      </w:r>
    </w:p>
    <w:p>
      <w:pPr>
        <w:pStyle w:val="BodyText"/>
      </w:pPr>
      <w:r>
        <w:drawing>
          <wp:inline>
            <wp:extent cx="5334000" cy="4375870"/>
            <wp:effectExtent b="0" l="0" r="0" t="0"/>
            <wp:docPr descr="Feature extraction and prediction" title="" id="114" name="Picture"/>
            <a:graphic>
              <a:graphicData uri="http://schemas.openxmlformats.org/drawingml/2006/picture">
                <pic:pic>
                  <pic:nvPicPr>
                    <pic:cNvPr descr="images/code-ml-inference.png" id="115" name="Picture"/>
                    <pic:cNvPicPr>
                      <a:picLocks noChangeArrowheads="1" noChangeAspect="1"/>
                    </pic:cNvPicPr>
                  </pic:nvPicPr>
                  <pic:blipFill>
                    <a:blip r:embed="rId113"/>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4.26: Feature Extraction and Prediction (predictor.py)</w:t>
      </w:r>
    </w:p>
    <w:p>
      <w:pPr>
        <w:pStyle w:val="BodyText"/>
      </w:pPr>
      <w:r>
        <w:rPr>
          <w:b/>
          <w:bCs/>
        </w:rPr>
        <w:t xml:space="preserve">Training.</w:t>
      </w:r>
      <w:r>
        <w:t xml:space="preserve"> </w:t>
      </w:r>
      <w:r>
        <w:t xml:space="preserve">Figure 4.27 shows the core of the training routine. The real records are split into training and test sets</w:t>
      </w:r>
      <w:r>
        <w:t xml:space="preserve"> </w:t>
      </w:r>
      <w:r>
        <w:rPr>
          <w:i/>
          <w:iCs/>
        </w:rPr>
        <w:t xml:space="preserve">before</w:t>
      </w:r>
      <w:r>
        <w:t xml:space="preserve"> </w:t>
      </w:r>
      <w:r>
        <w:t xml:space="preserve">any synthetic balancing is applied, so that oversampled near-duplicates can never leak across the split and inflate the reported accuracy; the label is the severity band mapped from the CVSS score; the NumPy Random Forest is then fitted on the training features; and — critically — it is evaluated on the untouched real held-out rows, which is what makes the reported accuracy trustworthy.</w:t>
      </w:r>
    </w:p>
    <w:p>
      <w:pPr>
        <w:pStyle w:val="BodyText"/>
      </w:pPr>
      <w:r>
        <w:drawing>
          <wp:inline>
            <wp:extent cx="5334000" cy="4266391"/>
            <wp:effectExtent b="0" l="0" r="0" t="0"/>
            <wp:docPr descr="Random Forest training with a leakage-safe split" title="" id="117" name="Picture"/>
            <a:graphic>
              <a:graphicData uri="http://schemas.openxmlformats.org/drawingml/2006/picture">
                <pic:pic>
                  <pic:nvPicPr>
                    <pic:cNvPr descr="images/code-ml-trainer.png" id="118" name="Picture"/>
                    <pic:cNvPicPr>
                      <a:picLocks noChangeArrowheads="1" noChangeAspect="1"/>
                    </pic:cNvPicPr>
                  </pic:nvPicPr>
                  <pic:blipFill>
                    <a:blip r:embed="rId116"/>
                    <a:stretch>
                      <a:fillRect/>
                    </a:stretch>
                  </pic:blipFill>
                  <pic:spPr bwMode="auto">
                    <a:xfrm>
                      <a:off x="0" y="0"/>
                      <a:ext cx="5334000" cy="4266391"/>
                    </a:xfrm>
                    <a:prstGeom prst="rect">
                      <a:avLst/>
                    </a:prstGeom>
                    <a:noFill/>
                    <a:ln w="9525">
                      <a:noFill/>
                      <a:headEnd/>
                      <a:tailEnd/>
                    </a:ln>
                  </pic:spPr>
                </pic:pic>
              </a:graphicData>
            </a:graphic>
          </wp:inline>
        </w:drawing>
      </w:r>
    </w:p>
    <w:p>
      <w:pPr>
        <w:pStyle w:val="BodyText"/>
      </w:pPr>
      <w:r>
        <w:rPr>
          <w:b/>
          <w:bCs/>
        </w:rPr>
        <w:t xml:space="preserve">Figure 4.27: Model Training — Leakage-Safe Split and Fit (model_trainer.py)</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is the Confidence Engine described next, which predicts something CVSS cannot express — the probability that a finding is a true positive.</w:t>
      </w:r>
    </w:p>
    <w:bookmarkEnd w:id="119"/>
    <w:bookmarkStart w:id="129" w:name="Xb876a7173b23e144718db5730c7d0b5f52e5ef0"/>
    <w:p>
      <w:pPr>
        <w:pStyle w:val="Heading4"/>
      </w:pPr>
      <w:r>
        <w:t xml:space="preserve">4.5.2.8 Confidence Scoring</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4.28 shows the core of the scoring method. Each factor returns a raw score in the range 0–100; the total is the weighted sum of those raw scores,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with the deliberate restriction to strong, type-matched check types, so that a generic input reflection cannot spuriously confirm a finding. Second, a scanner-rated</w:t>
      </w:r>
      <w:r>
        <w:t xml:space="preserve"> </w:t>
      </w:r>
      <w:r>
        <w:rPr>
          <w:i/>
          <w:iCs/>
        </w:rPr>
        <w:t xml:space="preserve">informational</w:t>
      </w:r>
      <w:r>
        <w:t xml:space="preserve"> </w:t>
      </w:r>
      <w:r>
        <w:t xml:space="preserve">finding is bucketed as "Informational" rather than given a true-or-false verdict. Otherwise the numeric score is mapped to a classification by the threshold function.</w:t>
      </w:r>
    </w:p>
    <w:p>
      <w:pPr>
        <w:pStyle w:val="BodyText"/>
      </w:pPr>
      <w:r>
        <w:drawing>
          <wp:inline>
            <wp:extent cx="5334000" cy="3604666"/>
            <wp:effectExtent b="0" l="0" r="0" t="0"/>
            <wp:docPr descr="Weighted scoring, PoC override, and classification" title="" id="121" name="Picture"/>
            <a:graphic>
              <a:graphicData uri="http://schemas.openxmlformats.org/drawingml/2006/picture">
                <pic:pic>
                  <pic:nvPicPr>
                    <pic:cNvPr descr="images/code-confidence-score.png" id="122" name="Picture"/>
                    <pic:cNvPicPr>
                      <a:picLocks noChangeArrowheads="1" noChangeAspect="1"/>
                    </pic:cNvPicPr>
                  </pic:nvPicPr>
                  <pic:blipFill>
                    <a:blip r:embed="rId120"/>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4.28: Confidence Scoring — Weights, Weighted Sum, and Overrides (confidence_engine.py)</w:t>
      </w:r>
    </w:p>
    <w:p>
      <w:pPr>
        <w:pStyle w:val="BodyText"/>
      </w:pPr>
      <w:r>
        <w:rPr>
          <w:b/>
          <w:bCs/>
        </w:rPr>
        <w:t xml:space="preserve">How individual factors are computed.</w:t>
      </w:r>
      <w:r>
        <w:t xml:space="preserve"> </w:t>
      </w:r>
      <w:r>
        <w:t xml:space="preserve">Figure 4.29 shows two representative factor methods and the classification-threshold function. The scanner-agreement factor scales with the number of corroborating scanners and returns a human-readable</w:t>
      </w:r>
      <w:r>
        <w:t xml:space="preserve"> </w:t>
      </w:r>
      <w:r>
        <w:rPr>
          <w:i/>
          <w:iCs/>
        </w:rPr>
        <w:t xml:space="preserve">reason</w:t>
      </w:r>
      <w:r>
        <w:t xml:space="preserve"> </w:t>
      </w:r>
      <w:r>
        <w:t xml:space="preserve">string; the CVE-availability factor is binary on the presence of a catalogued CVE; and</w:t>
      </w:r>
      <w:r>
        <w:t xml:space="preserve"> </w:t>
      </w:r>
      <w:r>
        <w:rPr>
          <w:rStyle w:val="VerbatimChar"/>
        </w:rPr>
        <w:t xml:space="preserve">_classify</w:t>
      </w:r>
      <w:r>
        <w:t xml:space="preserve"> </w:t>
      </w:r>
      <w:r>
        <w:t xml:space="preserve">applies the fixed thresholds — 70 and 40 — that separate the three classifications.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124" name="Picture"/>
            <a:graphic>
              <a:graphicData uri="http://schemas.openxmlformats.org/drawingml/2006/picture">
                <pic:pic>
                  <pic:nvPicPr>
                    <pic:cNvPr descr="images/code-confidence-factor.png" id="125" name="Picture"/>
                    <pic:cNvPicPr>
                      <a:picLocks noChangeArrowheads="1" noChangeAspect="1"/>
                    </pic:cNvPicPr>
                  </pic:nvPicPr>
                  <pic:blipFill>
                    <a:blip r:embed="rId12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4.29: Example Factor Computations and Classification Thresholds (confidence_engine.py)</w:t>
      </w:r>
    </w:p>
    <w:p>
      <w:pPr>
        <w:pStyle w:val="BodyText"/>
      </w:pPr>
      <w:r>
        <w:rPr>
          <w:b/>
          <w:bCs/>
        </w:rPr>
        <w:t xml:space="preserve">A worked example.</w:t>
      </w:r>
      <w:r>
        <w:t xml:space="preserve"> </w:t>
      </w:r>
      <w:r>
        <w:t xml:space="preserve">Figure 4.30 shows the confidence panel from the interface for a confirmed SQL-injection finding, which makes the computation concrete.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explains that a proof-of-concept check actively confirmed the vulnerability, which forced the classification and scaled the score into the 70–100 band. Each of the six factors is shown with its individual contribution, weight, and a plain-language reason. This per-factor transparency is exactly what allows an analyst to trust — or challenge — the automated verdict, and the same breakdown is embedded in the PDF report. On its curated evaluation benchmark, the engine achieves a ROC-AUC of approximately 0.82, a precision of 1.0 for the</w:t>
      </w:r>
      <w:r>
        <w:t xml:space="preserve"> </w:t>
      </w:r>
      <w:r>
        <w:rPr>
          <w:i/>
          <w:iCs/>
        </w:rPr>
        <w:t xml:space="preserve">Confirmed</w:t>
      </w:r>
      <w:r>
        <w:t xml:space="preserve"> </w:t>
      </w:r>
      <w:r>
        <w:t xml:space="preserve">classification, and roughly 81% suppression of false positives at the auto-dismiss threshold.</w:t>
      </w:r>
    </w:p>
    <w:p>
      <w:pPr>
        <w:pStyle w:val="BodyText"/>
      </w:pPr>
      <w:r>
        <w:drawing>
          <wp:inline>
            <wp:extent cx="5334000" cy="3036093"/>
            <wp:effectExtent b="0" l="0" r="0" t="0"/>
            <wp:docPr descr="Confidence-score breakdown panel" title="" id="127" name="Picture"/>
            <a:graphic>
              <a:graphicData uri="http://schemas.openxmlformats.org/drawingml/2006/picture">
                <pic:pic>
                  <pic:nvPicPr>
                    <pic:cNvPr descr="images/11-confidence-panel.png" id="128" name="Picture"/>
                    <pic:cNvPicPr>
                      <a:picLocks noChangeArrowheads="1" noChangeAspect="1"/>
                    </pic:cNvPicPr>
                  </pic:nvPicPr>
                  <pic:blipFill>
                    <a:blip r:embed="rId126"/>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4.30: Confidence-Score Breakdown (Finding Detail)</w:t>
      </w:r>
    </w:p>
    <w:bookmarkEnd w:id="129"/>
    <w:bookmarkStart w:id="133" w:name="X494fa9d2e84e76cabd26c06ff6352e957e43761"/>
    <w:p>
      <w:pPr>
        <w:pStyle w:val="Heading4"/>
      </w:pPr>
      <w:r>
        <w:t xml:space="preserve">4.5.2.9 PoC Validation</w:t>
      </w:r>
    </w:p>
    <w:p>
      <w:pPr>
        <w:pStyle w:val="FirstParagraph"/>
      </w:pPr>
      <w:r>
        <w:t xml:space="preserve">The optional PoC validator provides</w:t>
      </w:r>
      <w:r>
        <w:t xml:space="preserve"> </w:t>
      </w:r>
      <w:r>
        <w:rPr>
          <w:i/>
          <w:iCs/>
        </w:rPr>
        <w:t xml:space="preserve">active</w:t>
      </w:r>
      <w:r>
        <w:t xml:space="preserve"> </w:t>
      </w:r>
      <w:r>
        <w:t xml:space="preserve">confirmation by sending non-destructive requests to in-scope targets. Figure 4.31 shows the authorisation guard and an example check.</w:t>
      </w:r>
    </w:p>
    <w:p>
      <w:pPr>
        <w:pStyle w:val="BodyText"/>
      </w:pPr>
      <w:r>
        <w:drawing>
          <wp:inline>
            <wp:extent cx="5334000" cy="3749643"/>
            <wp:effectExtent b="0" l="0" r="0" t="0"/>
            <wp:docPr descr="Scope guard and SQL-injection check" title="" id="131" name="Picture"/>
            <a:graphic>
              <a:graphicData uri="http://schemas.openxmlformats.org/drawingml/2006/picture">
                <pic:pic>
                  <pic:nvPicPr>
                    <pic:cNvPr descr="images/code-poc.png" id="132" name="Picture"/>
                    <pic:cNvPicPr>
                      <a:picLocks noChangeArrowheads="1" noChangeAspect="1"/>
                    </pic:cNvPicPr>
                  </pic:nvPicPr>
                  <pic:blipFill>
                    <a:blip r:embed="rId130"/>
                    <a:stretch>
                      <a:fillRect/>
                    </a:stretch>
                  </pic:blipFill>
                  <pic:spPr bwMode="auto">
                    <a:xfrm>
                      <a:off x="0" y="0"/>
                      <a:ext cx="5334000" cy="3749643"/>
                    </a:xfrm>
                    <a:prstGeom prst="rect">
                      <a:avLst/>
                    </a:prstGeom>
                    <a:noFill/>
                    <a:ln w="9525">
                      <a:noFill/>
                      <a:headEnd/>
                      <a:tailEnd/>
                    </a:ln>
                  </pic:spPr>
                </pic:pic>
              </a:graphicData>
            </a:graphic>
          </wp:inline>
        </w:drawing>
      </w:r>
    </w:p>
    <w:p>
      <w:pPr>
        <w:pStyle w:val="BodyText"/>
      </w:pPr>
      <w:r>
        <w:rPr>
          <w:b/>
          <w:bCs/>
        </w:rPr>
        <w:t xml:space="preserve">Figure 4.31: PoC Validation — Scope Guard and SQLi Check (poc_validator.py)</w:t>
      </w:r>
    </w:p>
    <w:p>
      <w:pPr>
        <w:pStyle w:val="BodyText"/>
      </w:pPr>
      <w:r>
        <w:rPr>
          <w:rStyle w:val="VerbatimChar"/>
        </w:rPr>
        <w:t xml:space="preserve">_in_scope</w:t>
      </w:r>
      <w:r>
        <w:t xml:space="preserve"> </w:t>
      </w:r>
      <w:r>
        <w:t xml:space="preserve">compares the finding's host against the operator-supplied authorised scope and suppresses any probe to an out-of-scope host — a responsible-tooling guard that ensures the system never sends traffic to a target the operator has not authorised.</w:t>
      </w:r>
      <w:r>
        <w:t xml:space="preserve"> </w:t>
      </w:r>
      <w:r>
        <w:rPr>
          <w:rStyle w:val="VerbatimChar"/>
        </w:rPr>
        <w:t xml:space="preserve">_sqli_check</w:t>
      </w:r>
      <w:r>
        <w:t xml:space="preserve"> </w:t>
      </w:r>
      <w:r>
        <w:t xml:space="preserve">illustrates a validation: it sends benign, error-provoking payloads and inspects the response for SQL error signatures; a match returns a</w:t>
      </w:r>
      <w:r>
        <w:t xml:space="preserve"> </w:t>
      </w:r>
      <w:r>
        <w:rPr>
          <w:rStyle w:val="VerbatimChar"/>
        </w:rPr>
        <w:t xml:space="preserve">confirmed</w:t>
      </w:r>
      <w:r>
        <w:t xml:space="preserve"> </w:t>
      </w:r>
      <w:r>
        <w:t xml:space="preserve">result, which the Confidence Engine treats as an override to</w:t>
      </w:r>
      <w:r>
        <w:t xml:space="preserve"> </w:t>
      </w:r>
      <w:r>
        <w:rPr>
          <w:i/>
          <w:iCs/>
        </w:rPr>
        <w:t xml:space="preserve">Confirmed</w:t>
      </w:r>
      <w:r>
        <w:t xml:space="preserve">. All checks are read-only or time-based only — they never modify data.</w:t>
      </w:r>
    </w:p>
    <w:bookmarkEnd w:id="133"/>
    <w:bookmarkStart w:id="137" w:name="Xfe117651097e576d749c642613b36911366ebea"/>
    <w:p>
      <w:pPr>
        <w:pStyle w:val="Heading4"/>
      </w:pPr>
      <w:r>
        <w:t xml:space="preserve">4.5.2.10 Report Generation</w:t>
      </w:r>
    </w:p>
    <w:p>
      <w:pPr>
        <w:pStyle w:val="FirstParagraph"/>
      </w:pPr>
      <w:r>
        <w:t xml:space="preserve">The final stage renders a professional PDF triage report and can optionally enrich it with a large-language-model analysis. Figure 4.32 shows the generation method.</w:t>
      </w:r>
    </w:p>
    <w:p>
      <w:pPr>
        <w:pStyle w:val="BodyText"/>
      </w:pPr>
      <w:r>
        <w:drawing>
          <wp:inline>
            <wp:extent cx="5334000" cy="3840355"/>
            <wp:effectExtent b="0" l="0" r="0" t="0"/>
            <wp:docPr descr="Report generation" title="" id="135" name="Picture"/>
            <a:graphic>
              <a:graphicData uri="http://schemas.openxmlformats.org/drawingml/2006/picture">
                <pic:pic>
                  <pic:nvPicPr>
                    <pic:cNvPr descr="images/code-report.png" id="136" name="Picture"/>
                    <pic:cNvPicPr>
                      <a:picLocks noChangeArrowheads="1" noChangeAspect="1"/>
                    </pic:cNvPicPr>
                  </pic:nvPicPr>
                  <pic:blipFill>
                    <a:blip r:embed="rId134"/>
                    <a:stretch>
                      <a:fillRect/>
                    </a:stretch>
                  </pic:blipFill>
                  <pic:spPr bwMode="auto">
                    <a:xfrm>
                      <a:off x="0" y="0"/>
                      <a:ext cx="5334000" cy="3840355"/>
                    </a:xfrm>
                    <a:prstGeom prst="rect">
                      <a:avLst/>
                    </a:prstGeom>
                    <a:noFill/>
                    <a:ln w="9525">
                      <a:noFill/>
                      <a:headEnd/>
                      <a:tailEnd/>
                    </a:ln>
                  </pic:spPr>
                </pic:pic>
              </a:graphicData>
            </a:graphic>
          </wp:inline>
        </w:drawing>
      </w:r>
    </w:p>
    <w:p>
      <w:pPr>
        <w:pStyle w:val="BodyText"/>
      </w:pPr>
      <w:r>
        <w:rPr>
          <w:b/>
          <w:bCs/>
        </w:rPr>
        <w:t xml:space="preserve">Figure 4.32: Report Generation (report_generator.py)</w:t>
      </w:r>
    </w:p>
    <w:p>
      <w:pPr>
        <w:pStyle w:val="BodyText"/>
      </w:pPr>
      <w:r>
        <w:rPr>
          <w:rStyle w:val="VerbatimChar"/>
        </w:rPr>
        <w:t xml:space="preserve">generate</w:t>
      </w:r>
      <w:r>
        <w:t xml:space="preserve"> </w:t>
      </w:r>
      <w:r>
        <w:t xml:space="preserve">loads the report record and its findings, marks the report as</w:t>
      </w:r>
      <w:r>
        <w:t xml:space="preserve"> </w:t>
      </w:r>
      <w:r>
        <w:rPr>
          <w:i/>
          <w:iCs/>
        </w:rPr>
        <w:t xml:space="preserve">generating</w:t>
      </w:r>
      <w:r>
        <w:t xml:space="preserve">, builds the PDF document with the ReportLab library (delegating the layout to</w:t>
      </w:r>
      <w:r>
        <w:t xml:space="preserve"> </w:t>
      </w:r>
      <w:r>
        <w:rPr>
          <w:rStyle w:val="VerbatimChar"/>
        </w:rPr>
        <w:t xml:space="preserve">_build_pdf</w:t>
      </w:r>
      <w:r>
        <w:t xml:space="preserve">), and finally records the output file path and marks the report</w:t>
      </w:r>
      <w:r>
        <w:t xml:space="preserve"> </w:t>
      </w:r>
      <w:r>
        <w:rPr>
          <w:i/>
          <w:iCs/>
        </w:rPr>
        <w:t xml:space="preserve">completed</w:t>
      </w:r>
      <w:r>
        <w:t xml:space="preserve">. Because the report reads from the same normalised findings and confidence scores as the interface, the on-screen and exported views are always consistent.</w:t>
      </w:r>
    </w:p>
    <w:p>
      <w:pPr>
        <w:pStyle w:val="BodyText"/>
      </w:pPr>
      <w:r>
        <w:rPr>
          <w:b/>
          <w:bCs/>
        </w:rPr>
        <w:t xml:space="preserve">Optional AI-Assisted Analysis.</w:t>
      </w:r>
      <w:r>
        <w:t xml:space="preserve"> </w:t>
      </w:r>
      <w:r>
        <w:t xml:space="preserve">The</w:t>
      </w:r>
      <w:r>
        <w:t xml:space="preserve"> </w:t>
      </w:r>
      <w:r>
        <w:rPr>
          <w:rStyle w:val="VerbatimChar"/>
        </w:rPr>
        <w:t xml:space="preserve">generate</w:t>
      </w:r>
      <w:r>
        <w:t xml:space="preserve"> </w:t>
      </w:r>
      <w:r>
        <w:t xml:space="preserve">method accepts an</w:t>
      </w:r>
      <w:r>
        <w:t xml:space="preserve"> </w:t>
      </w:r>
      <w:r>
        <w:rPr>
          <w:rStyle w:val="VerbatimChar"/>
        </w:rPr>
        <w:t xml:space="preserve">ai_summary</w:t>
      </w:r>
      <w:r>
        <w:t xml:space="preserve"> </w:t>
      </w:r>
      <w:r>
        <w:t xml:space="preserve">flag. When it is set — and an API key is configured — the report generator first calls an optional AI engine (</w:t>
      </w:r>
      <w:r>
        <w:rPr>
          <w:rStyle w:val="VerbatimChar"/>
        </w:rPr>
        <w:t xml:space="preserve">engines/ai_summary.py</w:t>
      </w:r>
      <w:r>
        <w:t xml:space="preserve">) over the findings and inserts an additional</w:t>
      </w:r>
      <w:r>
        <w:t xml:space="preserve"> </w:t>
      </w:r>
      <w:r>
        <w:rPr>
          <w:b/>
          <w:bCs/>
        </w:rPr>
        <w:t xml:space="preserve">"AI-Assisted Analysis"</w:t>
      </w:r>
      <w:r>
        <w:t xml:space="preserve"> </w:t>
      </w:r>
      <w:r>
        <w:t xml:space="preserve">page into the PDF, containing an executive risk overview, a per-finding plain-language explanation of the risk together with concrete remediation, and a prioritised list of actions. This is the point at which the project's "AI-Assisted" remit is realised end-to-end: a large language model turns the structured triage data into an analyst-ready narrative. The engine is</w:t>
      </w:r>
      <w:r>
        <w:t xml:space="preserve"> </w:t>
      </w:r>
      <w:r>
        <w:rPr>
          <w:b/>
          <w:bCs/>
        </w:rPr>
        <w:t xml:space="preserve">provider-agnostic</w:t>
      </w:r>
      <w:r>
        <w:t xml:space="preserve"> </w:t>
      </w:r>
      <w:r>
        <w:t xml:space="preserve">— it uses Google Gemini depending on which API key is present (</w:t>
      </w:r>
      <w:r>
        <w:rPr>
          <w:rStyle w:val="VerbatimChar"/>
        </w:rPr>
        <w:t xml:space="preserve">GEMINI_API_KEY</w:t>
      </w:r>
      <w:r>
        <w:t xml:space="preserve"> </w:t>
      </w:r>
      <w:r>
        <w:t xml:space="preserve">or</w:t>
      </w:r>
      <w:r>
        <w:t xml:space="preserve"> </w:t>
      </w:r>
      <w:r>
        <w:rPr>
          <w:rStyle w:val="VerbatimChar"/>
        </w:rPr>
        <w:t xml:space="preserve">GOOGLE_API_KEY</w:t>
      </w:r>
      <w:r>
        <w:t xml:space="preserve">) — and makes a single structured-output request per report. Like the NVD enrichment and exploit-lookup features, it is</w:t>
      </w:r>
      <w:r>
        <w:t xml:space="preserve"> </w:t>
      </w:r>
      <w:r>
        <w:rPr>
          <w:b/>
          <w:bCs/>
        </w:rPr>
        <w:t xml:space="preserve">gated behind an API key</w:t>
      </w:r>
      <w:r>
        <w:t xml:space="preserve">: with no key it is a silent no-op and the offline report is produced exactly as before, and any API error degrades gracefully to a report without the section. Scanner-supplied text is passed to the model strictly as data, never as instructions, so the feature does not widen the system's trust boundary.</w:t>
      </w:r>
    </w:p>
    <w:bookmarkEnd w:id="137"/>
    <w:bookmarkEnd w:id="138"/>
    <w:bookmarkStart w:id="142" w:name="X37b70d44e5d2782d7cd4cb819e29306febc6675"/>
    <w:p>
      <w:pPr>
        <w:pStyle w:val="Heading3"/>
      </w:pPr>
      <w:r>
        <w:t xml:space="preserve">4.5.3 Auto-Scan Orchestration</w:t>
      </w:r>
    </w:p>
    <w:p>
      <w:pPr>
        <w:pStyle w:val="FirstParagraph"/>
      </w:pPr>
      <w:r>
        <w:t xml:space="preserve">The optional Auto Scan layer drives the scanners itself before triaging their output. Figure 4.33 shows the orchestration loop.</w:t>
      </w:r>
    </w:p>
    <w:p>
      <w:pPr>
        <w:pStyle w:val="BodyText"/>
      </w:pPr>
      <w:r>
        <w:drawing>
          <wp:inline>
            <wp:extent cx="5334000" cy="2451831"/>
            <wp:effectExtent b="0" l="0" r="0" t="0"/>
            <wp:docPr descr="Auto-scan orchestration loop" title="" id="140" name="Picture"/>
            <a:graphic>
              <a:graphicData uri="http://schemas.openxmlformats.org/drawingml/2006/picture">
                <pic:pic>
                  <pic:nvPicPr>
                    <pic:cNvPr descr="images/code-autoscan.png" id="141" name="Picture"/>
                    <pic:cNvPicPr>
                      <a:picLocks noChangeArrowheads="1" noChangeAspect="1"/>
                    </pic:cNvPicPr>
                  </pic:nvPicPr>
                  <pic:blipFill>
                    <a:blip r:embed="rId139"/>
                    <a:stretch>
                      <a:fillRect/>
                    </a:stretch>
                  </pic:blipFill>
                  <pic:spPr bwMode="auto">
                    <a:xfrm>
                      <a:off x="0" y="0"/>
                      <a:ext cx="5334000" cy="2451831"/>
                    </a:xfrm>
                    <a:prstGeom prst="rect">
                      <a:avLst/>
                    </a:prstGeom>
                    <a:noFill/>
                    <a:ln w="9525">
                      <a:noFill/>
                      <a:headEnd/>
                      <a:tailEnd/>
                    </a:ln>
                  </pic:spPr>
                </pic:pic>
              </a:graphicData>
            </a:graphic>
          </wp:inline>
        </w:drawing>
      </w:r>
    </w:p>
    <w:p>
      <w:pPr>
        <w:pStyle w:val="BodyText"/>
      </w:pPr>
      <w:r>
        <w:rPr>
          <w:b/>
          <w:bCs/>
        </w:rPr>
        <w:t xml:space="preserve">Figure 4.33: Auto-Scan Orchestration (auto_scan.py)</w:t>
      </w:r>
    </w:p>
    <w:p>
      <w:pPr>
        <w:pStyle w:val="BodyText"/>
      </w:pPr>
      <w:r>
        <w:t xml:space="preserve">The</w:t>
      </w:r>
      <w:r>
        <w:t xml:space="preserve"> </w:t>
      </w:r>
      <w:r>
        <w:rPr>
          <w:rStyle w:val="VerbatimChar"/>
        </w:rPr>
        <w:t xml:space="preserve">run</w:t>
      </w:r>
      <w:r>
        <w:t xml:space="preserve"> </w:t>
      </w:r>
      <w:r>
        <w:t xml:space="preserve">method iterates over the selected scanners</w:t>
      </w:r>
      <w:r>
        <w:t xml:space="preserve"> </w:t>
      </w:r>
      <w:r>
        <w:rPr>
          <w:b/>
          <w:bCs/>
        </w:rPr>
        <w:t xml:space="preserve">sequentially</w:t>
      </w:r>
      <w:r>
        <w:t xml:space="preserve"> </w:t>
      </w:r>
      <w:r>
        <w:t xml:space="preserve">—</w:t>
      </w:r>
      <w:r>
        <w:t xml:space="preserve"> </w:t>
      </w:r>
      <w:r>
        <w:rPr>
          <w:rStyle w:val="VerbatimChar"/>
        </w:rPr>
        <w:t xml:space="preserve">run_scanner</w:t>
      </w:r>
      <w:r>
        <w:t xml:space="preserve"> </w:t>
      </w:r>
      <w:r>
        <w:t xml:space="preserve">blocks until each scanner finishes before the next begins — which is a deliberate decision to avoid the memory exhaustion that running a heavyweight active scan (ZAP, with its headless browser) alongside a second scanner would risk. Each scanner's report is ingested through the normal parser, and after all scanners complete, the unified triage pipeline runs once across all of the uploads, so that a finding reported by two scanners is merged and its corroboration counted. The whole operation is gated behind an</w:t>
      </w:r>
      <w:r>
        <w:t xml:space="preserve"> </w:t>
      </w:r>
      <w:r>
        <w:rPr>
          <w:rStyle w:val="VerbatimChar"/>
        </w:rPr>
        <w:t xml:space="preserve">authorise=True</w:t>
      </w:r>
      <w:r>
        <w:t xml:space="preserve"> </w:t>
      </w:r>
      <w:r>
        <w:t xml:space="preserve">acknowledgement.</w:t>
      </w:r>
    </w:p>
    <w:bookmarkEnd w:id="142"/>
    <w:bookmarkStart w:id="146" w:name="X09db528d8686426bb1f0b08be7dcca13a28f5e2"/>
    <w:p>
      <w:pPr>
        <w:pStyle w:val="Heading3"/>
      </w:pPr>
      <w:r>
        <w:t xml:space="preserve">4.5.4 Authentication and API Wiring</w:t>
      </w:r>
    </w:p>
    <w:p>
      <w:pPr>
        <w:pStyle w:val="FirstParagraph"/>
      </w:pPr>
      <w:r>
        <w:t xml:space="preserve">Finally, Figure 4.34 shows the two pieces that secure the system and wire the engines together: the login endpoint and the pipeline route.</w:t>
      </w:r>
    </w:p>
    <w:p>
      <w:pPr>
        <w:pStyle w:val="BodyText"/>
      </w:pPr>
      <w:r>
        <w:drawing>
          <wp:inline>
            <wp:extent cx="5334000" cy="5996392"/>
            <wp:effectExtent b="0" l="0" r="0" t="0"/>
            <wp:docPr descr="JWT login and the pipeline route" title="" id="144" name="Picture"/>
            <a:graphic>
              <a:graphicData uri="http://schemas.openxmlformats.org/drawingml/2006/picture">
                <pic:pic>
                  <pic:nvPicPr>
                    <pic:cNvPr descr="images/code-auth-route.png" id="145" name="Picture"/>
                    <pic:cNvPicPr>
                      <a:picLocks noChangeArrowheads="1" noChangeAspect="1"/>
                    </pic:cNvPicPr>
                  </pic:nvPicPr>
                  <pic:blipFill>
                    <a:blip r:embed="rId143"/>
                    <a:stretch>
                      <a:fillRect/>
                    </a:stretch>
                  </pic:blipFill>
                  <pic:spPr bwMode="auto">
                    <a:xfrm>
                      <a:off x="0" y="0"/>
                      <a:ext cx="5334000" cy="5996392"/>
                    </a:xfrm>
                    <a:prstGeom prst="rect">
                      <a:avLst/>
                    </a:prstGeom>
                    <a:noFill/>
                    <a:ln w="9525">
                      <a:noFill/>
                      <a:headEnd/>
                      <a:tailEnd/>
                    </a:ln>
                  </pic:spPr>
                </pic:pic>
              </a:graphicData>
            </a:graphic>
          </wp:inline>
        </w:drawing>
      </w:r>
    </w:p>
    <w:p>
      <w:pPr>
        <w:pStyle w:val="BodyText"/>
      </w:pPr>
      <w:r>
        <w:rPr>
          <w:b/>
          <w:bCs/>
        </w:rPr>
        <w:t xml:space="preserve">Figure 4.34: JWT Authentication and Pipeline Wiring (auth.py, pipeline.py)</w:t>
      </w:r>
    </w:p>
    <w:p>
      <w:pPr>
        <w:pStyle w:val="BodyText"/>
      </w:pPr>
      <w:r>
        <w:rPr>
          <w:rStyle w:val="VerbatimChar"/>
        </w:rPr>
        <w:t xml:space="preserve">login</w:t>
      </w:r>
      <w:r>
        <w:t xml:space="preserve"> </w:t>
      </w:r>
      <w:r>
        <w:t xml:space="preserve">validates the submitted email and password, verifies the stored password hash, and — on success — issues a JSON Web Token with</w:t>
      </w:r>
      <w:r>
        <w:t xml:space="preserve"> </w:t>
      </w:r>
      <w:r>
        <w:rPr>
          <w:rStyle w:val="VerbatimChar"/>
        </w:rPr>
        <w:t xml:space="preserve">create_access_token</w:t>
      </w:r>
      <w:r>
        <w:t xml:space="preserve">; that token authorises every subsequent request.</w:t>
      </w:r>
      <w:r>
        <w:t xml:space="preserve"> </w:t>
      </w:r>
      <w:r>
        <w:rPr>
          <w:rStyle w:val="VerbatimChar"/>
        </w:rPr>
        <w:t xml:space="preserve">run_pipeline</w:t>
      </w:r>
      <w:r>
        <w:t xml:space="preserve"> </w:t>
      </w:r>
      <w:r>
        <w:t xml:space="preserve">is the JWT-protected endpoint that realises the abstract pipeline of §4.5.2 in concrete code: it loads the authenticated user's upload and then invokes each engine in order — normalisation, deduplication, CWE mapping, NVD enrichment, CWE→CVSS enrichment, and so on — accumulating the per-stage counts into a</w:t>
      </w:r>
      <w:r>
        <w:t xml:space="preserve"> </w:t>
      </w:r>
      <w:r>
        <w:rPr>
          <w:rStyle w:val="VerbatimChar"/>
        </w:rPr>
        <w:t xml:space="preserve">results</w:t>
      </w:r>
      <w:r>
        <w:t xml:space="preserve"> </w:t>
      </w:r>
      <w:r>
        <w:t xml:space="preserve">dictionary that is returned to the client. This method is therefore the executable definition of the triage pipeline.</w:t>
      </w:r>
    </w:p>
    <w:p>
      <w:r>
        <w:pict>
          <v:rect style="width:0;height:1.5pt" o:hralign="center" o:hrstd="t" o:hr="t"/>
        </w:pict>
      </w:r>
    </w:p>
    <w:bookmarkEnd w:id="146"/>
    <w:bookmarkEnd w:id="147"/>
    <w:bookmarkStart w:id="187"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151" w:name="X831bf8cb68fb81f8f88eb045a3d2ee1390654c7"/>
    <w:p>
      <w:pPr>
        <w:pStyle w:val="Heading3"/>
      </w:pPr>
      <w:r>
        <w:t xml:space="preserve">4.6.1 Login</w:t>
      </w:r>
    </w:p>
    <w:p>
      <w:pPr>
        <w:pStyle w:val="FirstParagraph"/>
      </w:pPr>
      <w:r>
        <w:drawing>
          <wp:inline>
            <wp:extent cx="5334000" cy="3189287"/>
            <wp:effectExtent b="0" l="0" r="0" t="0"/>
            <wp:docPr descr="Login screen" title="" id="149" name="Picture"/>
            <a:graphic>
              <a:graphicData uri="http://schemas.openxmlformats.org/drawingml/2006/picture">
                <pic:pic>
                  <pic:nvPicPr>
                    <pic:cNvPr descr="images/01-login.png" id="150" name="Picture"/>
                    <pic:cNvPicPr>
                      <a:picLocks noChangeArrowheads="1" noChangeAspect="1"/>
                    </pic:cNvPicPr>
                  </pic:nvPicPr>
                  <pic:blipFill>
                    <a:blip r:embed="rId14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4.35: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151"/>
    <w:bookmarkStart w:id="155"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153" name="Picture"/>
            <a:graphic>
              <a:graphicData uri="http://schemas.openxmlformats.org/drawingml/2006/picture">
                <pic:pic>
                  <pic:nvPicPr>
                    <pic:cNvPr descr="images/02-register.png" id="154" name="Picture"/>
                    <pic:cNvPicPr>
                      <a:picLocks noChangeArrowheads="1" noChangeAspect="1"/>
                    </pic:cNvPicPr>
                  </pic:nvPicPr>
                  <pic:blipFill>
                    <a:blip r:embed="rId15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4.36: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155"/>
    <w:bookmarkStart w:id="159" w:name="Xc736af9b4f661537cca52631185f21e222e4ab8"/>
    <w:p>
      <w:pPr>
        <w:pStyle w:val="Heading3"/>
      </w:pPr>
      <w:r>
        <w:t xml:space="preserve">4.6.3 Dashboard</w:t>
      </w:r>
    </w:p>
    <w:p>
      <w:pPr>
        <w:pStyle w:val="FirstParagraph"/>
      </w:pPr>
      <w:r>
        <w:drawing>
          <wp:inline>
            <wp:extent cx="5334000" cy="4663545"/>
            <wp:effectExtent b="0" l="0" r="0" t="0"/>
            <wp:docPr descr="Dashboard" title="" id="157" name="Picture"/>
            <a:graphic>
              <a:graphicData uri="http://schemas.openxmlformats.org/drawingml/2006/picture">
                <pic:pic>
                  <pic:nvPicPr>
                    <pic:cNvPr descr="images/03-dashboard.png" id="158" name="Picture"/>
                    <pic:cNvPicPr>
                      <a:picLocks noChangeArrowheads="1" noChangeAspect="1"/>
                    </pic:cNvPicPr>
                  </pic:nvPicPr>
                  <pic:blipFill>
                    <a:blip r:embed="rId156"/>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4.37: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159"/>
    <w:bookmarkStart w:id="163"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61" name="Picture"/>
            <a:graphic>
              <a:graphicData uri="http://schemas.openxmlformats.org/drawingml/2006/picture">
                <pic:pic>
                  <pic:nvPicPr>
                    <pic:cNvPr descr="images/04-upload.png" id="162" name="Picture"/>
                    <pic:cNvPicPr>
                      <a:picLocks noChangeArrowheads="1" noChangeAspect="1"/>
                    </pic:cNvPicPr>
                  </pic:nvPicPr>
                  <pic:blipFill>
                    <a:blip r:embed="rId16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4.38: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63"/>
    <w:bookmarkStart w:id="167"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65" name="Picture"/>
            <a:graphic>
              <a:graphicData uri="http://schemas.openxmlformats.org/drawingml/2006/picture">
                <pic:pic>
                  <pic:nvPicPr>
                    <pic:cNvPr descr="images/05-autoscan.png" id="166" name="Picture"/>
                    <pic:cNvPicPr>
                      <a:picLocks noChangeArrowheads="1" noChangeAspect="1"/>
                    </pic:cNvPicPr>
                  </pic:nvPicPr>
                  <pic:blipFill>
                    <a:blip r:embed="rId16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4.39: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67"/>
    <w:bookmarkStart w:id="171" w:name="X82b1df9bde87e06f2113dd04155c164935be6fa"/>
    <w:p>
      <w:pPr>
        <w:pStyle w:val="Heading3"/>
      </w:pPr>
      <w:r>
        <w:t xml:space="preserve">4.6.6 Findings</w:t>
      </w:r>
    </w:p>
    <w:p>
      <w:pPr>
        <w:pStyle w:val="FirstParagraph"/>
      </w:pPr>
      <w:r>
        <w:drawing>
          <wp:inline>
            <wp:extent cx="5334000" cy="4911725"/>
            <wp:effectExtent b="0" l="0" r="0" t="0"/>
            <wp:docPr descr="Findings list" title="" id="169" name="Picture"/>
            <a:graphic>
              <a:graphicData uri="http://schemas.openxmlformats.org/drawingml/2006/picture">
                <pic:pic>
                  <pic:nvPicPr>
                    <pic:cNvPr descr="images/06-findings.png" id="170" name="Picture"/>
                    <pic:cNvPicPr>
                      <a:picLocks noChangeArrowheads="1" noChangeAspect="1"/>
                    </pic:cNvPicPr>
                  </pic:nvPicPr>
                  <pic:blipFill>
                    <a:blip r:embed="rId168"/>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4.40: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71"/>
    <w:bookmarkStart w:id="175"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73" name="Picture"/>
            <a:graphic>
              <a:graphicData uri="http://schemas.openxmlformats.org/drawingml/2006/picture">
                <pic:pic>
                  <pic:nvPicPr>
                    <pic:cNvPr descr="images/07-finding-detail.png" id="174" name="Picture"/>
                    <pic:cNvPicPr>
                      <a:picLocks noChangeArrowheads="1" noChangeAspect="1"/>
                    </pic:cNvPicPr>
                  </pic:nvPicPr>
                  <pic:blipFill>
                    <a:blip r:embed="rId172"/>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4.41: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4.30.)</w:t>
      </w:r>
    </w:p>
    <w:bookmarkEnd w:id="175"/>
    <w:bookmarkStart w:id="179"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77" name="Picture"/>
            <a:graphic>
              <a:graphicData uri="http://schemas.openxmlformats.org/drawingml/2006/picture">
                <pic:pic>
                  <pic:nvPicPr>
                    <pic:cNvPr descr="images/08-reports.png" id="178" name="Picture"/>
                    <pic:cNvPicPr>
                      <a:picLocks noChangeArrowheads="1" noChangeAspect="1"/>
                    </pic:cNvPicPr>
                  </pic:nvPicPr>
                  <pic:blipFill>
                    <a:blip r:embed="rId17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4.42: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79"/>
    <w:bookmarkStart w:id="186"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81" name="Picture"/>
            <a:graphic>
              <a:graphicData uri="http://schemas.openxmlformats.org/drawingml/2006/picture">
                <pic:pic>
                  <pic:nvPicPr>
                    <pic:cNvPr descr="images/09-report-cover.png" id="182" name="Picture"/>
                    <pic:cNvPicPr>
                      <a:picLocks noChangeArrowheads="1" noChangeAspect="1"/>
                    </pic:cNvPicPr>
                  </pic:nvPicPr>
                  <pic:blipFill>
                    <a:blip r:embed="rId180"/>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4.43: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84" name="Picture"/>
            <a:graphic>
              <a:graphicData uri="http://schemas.openxmlformats.org/drawingml/2006/picture">
                <pic:pic>
                  <pic:nvPicPr>
                    <pic:cNvPr descr="images/10-report-summary.png" id="185" name="Picture"/>
                    <pic:cNvPicPr>
                      <a:picLocks noChangeArrowheads="1" noChangeAspect="1"/>
                    </pic:cNvPicPr>
                  </pic:nvPicPr>
                  <pic:blipFill>
                    <a:blip r:embed="rId183"/>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4.44: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86"/>
    <w:bookmarkEnd w:id="187"/>
    <w:bookmarkStart w:id="188"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and then presented a full source-code walkthrough of the implementation: every essential engine of the triage pipeline — scanner parsing, normalisation, deduplication, CWE mapping, NVD enrichment, CWE→CVSS enrichment, machine-learning prioritisation, confidence scoring, PoC validation, and report generation — together with the Auto-Scan orchestrator and the authentication-and-wiring layer, was shown as an annotated code figure and explained block by block. Section 4.6 presented ten annotated screenshots of the finished product — including the exported PDF report — with a justification for each. In total the chapter contains twelve diagrams, sixteen annotated code and interface figures across the engine walkthrough, ten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26" Target="media/rId126.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90" Target="media/rId90.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2026-07-16T12:38:40Z</dcterms:created>
  <dcterms:modified xsi:type="dcterms:W3CDTF">2026-07-16T12:38:40Z</dcterms:modified>
</cp:coreProperties>
</file>

<file path=docProps/custom.xml><?xml version="1.0" encoding="utf-8"?>
<Properties xmlns="http://schemas.openxmlformats.org/officeDocument/2006/custom-properties" xmlns:vt="http://schemas.openxmlformats.org/officeDocument/2006/docPropsVTypes"/>
</file>