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chapter-5-result-and-discussion"/>
    <w:p>
      <w:pPr>
        <w:pStyle w:val="Heading1"/>
      </w:pPr>
      <w:r>
        <w:t xml:space="preserve">CHAPTER 5: RESULT AND DISCUSSION</w:t>
      </w:r>
    </w:p>
    <w:bookmarkStart w:id="9" w:name="X2044758a0bc63bb0dcd425e1bab7ef72e381a6e"/>
    <w:p>
      <w:pPr>
        <w:pStyle w:val="Heading2"/>
      </w:pPr>
      <w:r>
        <w:t xml:space="preserve">5.1 Introduction</w:t>
      </w:r>
    </w:p>
    <w:p>
      <w:pPr>
        <w:pStyle w:val="FirstParagraph"/>
      </w:pPr>
      <w:r>
        <w:t xml:space="preserve">This chapter reports and discusses the results obtained from testing the completed VulnTriage system. Where Chapter 4 documented</w:t>
      </w:r>
      <w:r>
        <w:t xml:space="preserve"> </w:t>
      </w:r>
      <w:r>
        <w:rPr>
          <w:i/>
          <w:iCs/>
        </w:rPr>
        <w:t xml:space="preserve">how</w:t>
      </w:r>
      <w:r>
        <w:t xml:space="preserve"> </w:t>
      </w:r>
      <w:r>
        <w:t xml:space="preserve">the system was built, this chapter demonstrates</w:t>
      </w:r>
      <w:r>
        <w:t xml:space="preserve"> </w:t>
      </w:r>
      <w:r>
        <w:rPr>
          <w:i/>
          <w:iCs/>
        </w:rPr>
        <w:t xml:space="preserve">that it works</w:t>
      </w:r>
      <w:r>
        <w:t xml:space="preserve"> </w:t>
      </w:r>
      <w:r>
        <w:t xml:space="preserve">and</w:t>
      </w:r>
      <w:r>
        <w:t xml:space="preserve"> </w:t>
      </w:r>
      <w:r>
        <w:rPr>
          <w:i/>
          <w:iCs/>
        </w:rPr>
        <w:t xml:space="preserve">how well</w:t>
      </w:r>
      <w:r>
        <w:t xml:space="preserve"> </w:t>
      </w:r>
      <w:r>
        <w:t xml:space="preserve">— through both objective, machine-verified testing of the internal logic and subjective, human-centred testing of the finished product.</w:t>
      </w:r>
    </w:p>
    <w:p>
      <w:pPr>
        <w:pStyle w:val="BodyText"/>
      </w:pPr>
      <w:r>
        <w:t xml:space="preserve">Two complementary testing techniques were selected, in line with the requirement for a minimum of two. The first,</w:t>
      </w:r>
      <w:r>
        <w:t xml:space="preserve"> </w:t>
      </w:r>
      <w:r>
        <w:rPr>
          <w:b/>
          <w:bCs/>
        </w:rPr>
        <w:t xml:space="preserve">white-box testing</w:t>
      </w:r>
      <w:r>
        <w:t xml:space="preserve">, exercises the system from the inside: it uses knowledge of the internal structure (the engines, parsers, and models) to verify each component's behaviour against expected outputs, and it extends to a quantitative evaluation of the machine-learning model and a live end-to-end verification of the whole pipeline. The second,</w:t>
      </w:r>
      <w:r>
        <w:t xml:space="preserve"> </w:t>
      </w:r>
      <w:r>
        <w:rPr>
          <w:b/>
          <w:bCs/>
        </w:rPr>
        <w:t xml:space="preserve">User Acceptance Testing measured with the System Usability Scale (SUS)</w:t>
      </w:r>
      <w:r>
        <w:t xml:space="preserve">, evaluates the system from the outside, as an analyst would experience it, and captures whether the intended users find it usable and acceptable.</w:t>
      </w:r>
    </w:p>
    <w:p>
      <w:pPr>
        <w:pStyle w:val="BodyText"/>
      </w:pPr>
      <w:r>
        <w:t xml:space="preserve">The two techniques were chosen because they cover the two axes on which a system like this must succeed. VulnTriage is, at its core, an analytical engine whose</w:t>
      </w:r>
      <w:r>
        <w:t xml:space="preserve"> </w:t>
      </w:r>
      <w:r>
        <w:rPr>
          <w:i/>
          <w:iCs/>
        </w:rPr>
        <w:t xml:space="preserve">correctness</w:t>
      </w:r>
      <w:r>
        <w:t xml:space="preserve"> </w:t>
      </w:r>
      <w:r>
        <w:t xml:space="preserve">must be demonstrable — a mis-classified finding or a mis-parsed report undermines the entire value proposition — which white-box testing addresses directly and reproducibly. But it is also a decision-support tool whose</w:t>
      </w:r>
      <w:r>
        <w:t xml:space="preserve"> </w:t>
      </w:r>
      <w:r>
        <w:rPr>
          <w:i/>
          <w:iCs/>
        </w:rPr>
        <w:t xml:space="preserve">usability</w:t>
      </w:r>
      <w:r>
        <w:t xml:space="preserve"> </w:t>
      </w:r>
      <w:r>
        <w:t xml:space="preserve">determines whether an analyst will actually trust and adopt it, which only human testing with the target audience can establish. Section 5.2 sets out the design and plan for both techniques; Section 5.3 reports and discusses their execution and results; and Section 5.4 summarises the outcome.</w:t>
      </w:r>
    </w:p>
    <w:p>
      <w:r>
        <w:pict>
          <v:rect style="width:0;height:1.5pt" o:hralign="center" o:hrstd="t" o:hr="t"/>
        </w:pict>
      </w:r>
    </w:p>
    <w:bookmarkEnd w:id="9"/>
    <w:bookmarkStart w:id="16" w:name="Xb5a580da9af5deae23cfb461396869d855cd666"/>
    <w:p>
      <w:pPr>
        <w:pStyle w:val="Heading2"/>
      </w:pPr>
      <w:r>
        <w:t xml:space="preserve">5.2 Testing Design / Plan</w:t>
      </w:r>
    </w:p>
    <w:bookmarkStart w:id="13" w:name="Xf1966c02b3d8bfc45930d4122d90ada2cb35f05"/>
    <w:p>
      <w:pPr>
        <w:pStyle w:val="Heading3"/>
      </w:pPr>
      <w:r>
        <w:t xml:space="preserve">5.2.1 Overview of the Testing Approach</w:t>
      </w:r>
    </w:p>
    <w:p>
      <w:pPr>
        <w:pStyle w:val="FirstParagraph"/>
      </w:pPr>
      <w:r>
        <w:t xml:space="preserve">Figure 5.1 shows how the two techniques combine into the overall evaluation. White-box testing is applied continuously and automatically during development and validates the internal logic, the ML model, and the integrated pipeline; UAT with SUS is applied to the finished system by real users and validates its usability and acceptability. Together they answer, respectively, "does the system compute the right answer?" and "can the intended user work with it effectively?".</w:t>
      </w:r>
    </w:p>
    <w:p>
      <w:pPr>
        <w:pStyle w:val="BodyText"/>
      </w:pPr>
      <w:r>
        <w:drawing>
          <wp:inline>
            <wp:extent cx="5334000" cy="3355361"/>
            <wp:effectExtent b="0" l="0" r="0" t="0"/>
            <wp:docPr descr="Figure 5.1: Overall Testing Approach — Two Complementary Techniques" title="" id="11" name="Picture"/>
            <a:graphic>
              <a:graphicData uri="http://schemas.openxmlformats.org/drawingml/2006/picture">
                <pic:pic>
                  <pic:nvPicPr>
                    <pic:cNvPr descr="diagrams/diagram-ch5-01.png" id="12" name="Picture"/>
                    <pic:cNvPicPr>
                      <a:picLocks noChangeArrowheads="1" noChangeAspect="1"/>
                    </pic:cNvPicPr>
                  </pic:nvPicPr>
                  <pic:blipFill>
                    <a:blip r:embed="rId10"/>
                    <a:stretch>
                      <a:fillRect/>
                    </a:stretch>
                  </pic:blipFill>
                  <pic:spPr bwMode="auto">
                    <a:xfrm>
                      <a:off x="0" y="0"/>
                      <a:ext cx="5334000" cy="3355361"/>
                    </a:xfrm>
                    <a:prstGeom prst="rect">
                      <a:avLst/>
                    </a:prstGeom>
                    <a:noFill/>
                    <a:ln w="9525">
                      <a:noFill/>
                      <a:headEnd/>
                      <a:tailEnd/>
                    </a:ln>
                  </pic:spPr>
                </pic:pic>
              </a:graphicData>
            </a:graphic>
          </wp:inline>
        </w:drawing>
      </w:r>
    </w:p>
    <w:p>
      <w:pPr>
        <w:pStyle w:val="BodyText"/>
      </w:pPr>
      <w:r>
        <w:rPr>
          <w:b/>
          <w:bCs/>
        </w:rPr>
        <w:t xml:space="preserve">Figure 5.1: Overall Testing Approach — Two Complementary Techniques</w:t>
      </w:r>
    </w:p>
    <w:bookmarkEnd w:id="13"/>
    <w:bookmarkStart w:id="14" w:name="X7b555a6fb398570dd7f877306e54ea7ccb47d8b"/>
    <w:p>
      <w:pPr>
        <w:pStyle w:val="Heading3"/>
      </w:pPr>
      <w:r>
        <w:t xml:space="preserve">5.2.2 Technique 1 — White-Box (Unit and Integration) Testing: Plan</w:t>
      </w:r>
    </w:p>
    <w:p>
      <w:pPr>
        <w:pStyle w:val="FirstParagraph"/>
      </w:pPr>
      <w:r>
        <w:t xml:space="preserve">White-box (also called structural or glass-box) testing was chosen as the primary technique for verifying correctness because the system's value lives in its internal logic — parsers, the SHA-256 deduplication, the CWE mapper, the NVD enrichment, the CWE→CVSS inference, the Random Forest, and the six-factor Confidence Engine. Each of these is a well-defined transformation with a knowable correct output, which makes it ideal for automated assertion-based testing.</w:t>
      </w:r>
    </w:p>
    <w:p>
      <w:pPr>
        <w:pStyle w:val="BodyText"/>
      </w:pPr>
      <w:r>
        <w:rPr>
          <w:b/>
          <w:bCs/>
        </w:rPr>
        <w:t xml:space="preserve">Framework and environment.</w:t>
      </w:r>
      <w:r>
        <w:t xml:space="preserve"> </w:t>
      </w:r>
      <w:r>
        <w:t xml:space="preserve">The tests are written with the</w:t>
      </w:r>
      <w:r>
        <w:t xml:space="preserve"> </w:t>
      </w:r>
      <w:r>
        <w:rPr>
          <w:b/>
          <w:bCs/>
        </w:rPr>
        <w:t xml:space="preserve">pytest</w:t>
      </w:r>
      <w:r>
        <w:t xml:space="preserve"> </w:t>
      </w:r>
      <w:r>
        <w:t xml:space="preserve">framework and run with a single command (</w:t>
      </w:r>
      <w:r>
        <w:rPr>
          <w:rStyle w:val="VerbatimChar"/>
        </w:rPr>
        <w:t xml:space="preserve">cd backend &amp;&amp; python -m pytest</w:t>
      </w:r>
      <w:r>
        <w:t xml:space="preserve">). They use an in-memory SQLite database bound at application creation, and all external dependencies — the LLM providers, the live NVD API, and the network — are mocked, so the entire suite runs deterministically in a few seconds with no API key, no internet, and no external service. This is what makes the results reproducible by any examiner.</w:t>
      </w:r>
    </w:p>
    <w:p>
      <w:pPr>
        <w:pStyle w:val="BodyText"/>
      </w:pPr>
      <w:r>
        <w:rPr>
          <w:b/>
          <w:bCs/>
        </w:rPr>
        <w:t xml:space="preserve">Scope and level.</w:t>
      </w:r>
      <w:r>
        <w:t xml:space="preserve"> </w:t>
      </w:r>
      <w:r>
        <w:t xml:space="preserve">The plan covers three levels:</w:t>
      </w:r>
    </w:p>
    <w:p>
      <w:pPr>
        <w:pStyle w:val="Compact"/>
        <w:numPr>
          <w:ilvl w:val="0"/>
          <w:numId w:val="1001"/>
        </w:numPr>
      </w:pPr>
      <w:r>
        <w:rPr>
          <w:b/>
          <w:bCs/>
        </w:rPr>
        <w:t xml:space="preserve">Unit tests</w:t>
      </w:r>
      <w:r>
        <w:t xml:space="preserve"> </w:t>
      </w:r>
      <w:r>
        <w:t xml:space="preserve">verify a single engine or helper in isolation (for example, that the CWE keyword mapper returns</w:t>
      </w:r>
      <w:r>
        <w:t xml:space="preserve"> </w:t>
      </w:r>
      <w:r>
        <w:rPr>
          <w:rStyle w:val="VerbatimChar"/>
        </w:rPr>
        <w:t xml:space="preserve">CWE-89</w:t>
      </w:r>
      <w:r>
        <w:t xml:space="preserve"> </w:t>
      </w:r>
      <w:r>
        <w:t xml:space="preserve">for a "SQL Injection" title, or that</w:t>
      </w:r>
      <w:r>
        <w:t xml:space="preserve"> </w:t>
      </w:r>
      <w:r>
        <w:rPr>
          <w:rStyle w:val="VerbatimChar"/>
        </w:rPr>
        <w:t xml:space="preserve">html_to_text</w:t>
      </w:r>
      <w:r>
        <w:t xml:space="preserve"> </w:t>
      </w:r>
      <w:r>
        <w:t xml:space="preserve">strips</w:t>
      </w:r>
      <w:r>
        <w:t xml:space="preserve"> </w:t>
      </w:r>
      <w:r>
        <w:rPr>
          <w:rStyle w:val="VerbatimChar"/>
        </w:rPr>
        <w:t xml:space="preserve">&lt;p&gt;</w:t>
      </w:r>
      <w:r>
        <w:t xml:space="preserve"> </w:t>
      </w:r>
      <w:r>
        <w:t xml:space="preserve">tags).</w:t>
      </w:r>
    </w:p>
    <w:p>
      <w:pPr>
        <w:pStyle w:val="Compact"/>
        <w:numPr>
          <w:ilvl w:val="0"/>
          <w:numId w:val="1001"/>
        </w:numPr>
      </w:pPr>
      <w:r>
        <w:rPr>
          <w:b/>
          <w:bCs/>
        </w:rPr>
        <w:t xml:space="preserve">Integration tests</w:t>
      </w:r>
      <w:r>
        <w:t xml:space="preserve"> </w:t>
      </w:r>
      <w:r>
        <w:t xml:space="preserve">verify that engines cooperate correctly through the database (for example, that a finding flows through normalisation and deduplication with the correct</w:t>
      </w:r>
      <w:r>
        <w:t xml:space="preserve"> </w:t>
      </w:r>
      <w:r>
        <w:rPr>
          <w:rStyle w:val="VerbatimChar"/>
        </w:rPr>
        <w:t xml:space="preserve">group_hash</w:t>
      </w:r>
      <w:r>
        <w:t xml:space="preserve">).</w:t>
      </w:r>
    </w:p>
    <w:p>
      <w:pPr>
        <w:pStyle w:val="Compact"/>
        <w:numPr>
          <w:ilvl w:val="0"/>
          <w:numId w:val="1001"/>
        </w:numPr>
      </w:pPr>
      <w:r>
        <w:rPr>
          <w:b/>
          <w:bCs/>
        </w:rPr>
        <w:t xml:space="preserve">Model evaluation and live verification</w:t>
      </w:r>
      <w:r>
        <w:t xml:space="preserve"> </w:t>
      </w:r>
      <w:r>
        <w:t xml:space="preserve">quantify the ML model on real held-out data and confirm the whole pipeline end-to-end against a live target.</w:t>
      </w:r>
    </w:p>
    <w:p>
      <w:pPr>
        <w:pStyle w:val="FirstParagraph"/>
      </w:pPr>
      <w:r>
        <w:rPr>
          <w:b/>
          <w:bCs/>
        </w:rPr>
        <w:t xml:space="preserve">Test case design.</w:t>
      </w:r>
      <w:r>
        <w:t xml:space="preserve"> </w:t>
      </w:r>
      <w:r>
        <w:t xml:space="preserve">Cases were designed to cover the</w:t>
      </w:r>
      <w:r>
        <w:t xml:space="preserve"> </w:t>
      </w:r>
      <w:r>
        <w:rPr>
          <w:i/>
          <w:iCs/>
        </w:rPr>
        <w:t xml:space="preserve">normal path</w:t>
      </w:r>
      <w:r>
        <w:t xml:space="preserve">,</w:t>
      </w:r>
      <w:r>
        <w:t xml:space="preserve"> </w:t>
      </w:r>
      <w:r>
        <w:rPr>
          <w:i/>
          <w:iCs/>
        </w:rPr>
        <w:t xml:space="preserve">boundary conditions</w:t>
      </w:r>
      <w:r>
        <w:t xml:space="preserve">, and</w:t>
      </w:r>
      <w:r>
        <w:t xml:space="preserve"> </w:t>
      </w:r>
      <w:r>
        <w:rPr>
          <w:i/>
          <w:iCs/>
        </w:rPr>
        <w:t xml:space="preserve">known failure modes</w:t>
      </w:r>
      <w:r>
        <w:t xml:space="preserve"> </w:t>
      </w:r>
      <w:r>
        <w:t xml:space="preserve">(regression tests). Table 5.1 defines a representative sample of the test-case template used, showing the format: an identifier, the unit under test, the input, the expected output, and the pass criterion.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Test ID</w:t>
            </w:r>
          </w:p>
        </w:tc>
        <w:tc>
          <w:tcPr/>
          <w:p>
            <w:pPr>
              <w:pStyle w:val="Compact"/>
            </w:pPr>
            <w:r>
              <w:t xml:space="preserve">Unit under test</w:t>
            </w:r>
          </w:p>
        </w:tc>
        <w:tc>
          <w:tcPr/>
          <w:p>
            <w:pPr>
              <w:pStyle w:val="Compact"/>
            </w:pPr>
            <w:r>
              <w:t xml:space="preserve">Input</w:t>
            </w:r>
          </w:p>
        </w:tc>
        <w:tc>
          <w:tcPr/>
          <w:p>
            <w:pPr>
              <w:pStyle w:val="Compact"/>
            </w:pPr>
            <w:r>
              <w:t xml:space="preserve">Expected output</w:t>
            </w:r>
          </w:p>
        </w:tc>
        <w:tc>
          <w:tcPr/>
          <w:p>
            <w:pPr>
              <w:pStyle w:val="Compact"/>
            </w:pPr>
            <w:r>
              <w:t xml:space="preserve">Pass criterion</w:t>
            </w:r>
          </w:p>
        </w:tc>
      </w:tr>
      <w:tr>
        <w:tc>
          <w:tcPr/>
          <w:p>
            <w:pPr>
              <w:pStyle w:val="Compact"/>
            </w:pPr>
            <w:r>
              <w:t xml:space="preserve">WB-01</w:t>
            </w:r>
          </w:p>
        </w:tc>
        <w:tc>
          <w:tcPr/>
          <w:p>
            <w:pPr>
              <w:pStyle w:val="Compact"/>
            </w:pPr>
            <w:r>
              <w:t xml:space="preserve">CWE keyword mapper</w:t>
            </w:r>
          </w:p>
        </w:tc>
        <w:tc>
          <w:tcPr/>
          <w:p>
            <w:pPr>
              <w:pStyle w:val="Compact"/>
            </w:pPr>
            <w:r>
              <w:t xml:space="preserve">Title "SQL Injection"</w:t>
            </w:r>
          </w:p>
        </w:tc>
        <w:tc>
          <w:tcPr/>
          <w:p>
            <w:pPr>
              <w:pStyle w:val="Compact"/>
            </w:pPr>
            <w:r>
              <w:rPr>
                <w:rStyle w:val="VerbatimChar"/>
              </w:rPr>
              <w:t xml:space="preserve">CWE-89</w:t>
            </w:r>
          </w:p>
        </w:tc>
        <w:tc>
          <w:tcPr/>
          <w:p>
            <w:pPr>
              <w:pStyle w:val="Compact"/>
            </w:pPr>
            <w:r>
              <w:t xml:space="preserve">Returned CWE equals</w:t>
            </w:r>
            <w:r>
              <w:t xml:space="preserve"> </w:t>
            </w:r>
            <w:r>
              <w:rPr>
                <w:rStyle w:val="VerbatimChar"/>
              </w:rPr>
              <w:t xml:space="preserve">CWE-89</w:t>
            </w:r>
          </w:p>
        </w:tc>
      </w:tr>
      <w:tr>
        <w:tc>
          <w:tcPr/>
          <w:p>
            <w:pPr>
              <w:pStyle w:val="Compact"/>
            </w:pPr>
            <w:r>
              <w:t xml:space="preserve">WB-02</w:t>
            </w:r>
          </w:p>
        </w:tc>
        <w:tc>
          <w:tcPr/>
          <w:p>
            <w:pPr>
              <w:pStyle w:val="Compact"/>
            </w:pPr>
            <w:r>
              <w:t xml:space="preserve">CWE mapper (regression)</w:t>
            </w:r>
          </w:p>
        </w:tc>
        <w:tc>
          <w:tcPr/>
          <w:p>
            <w:pPr>
              <w:pStyle w:val="Compact"/>
            </w:pPr>
            <w:r>
              <w:t xml:space="preserve">Title "Source Code Disclosure"</w:t>
            </w:r>
          </w:p>
        </w:tc>
        <w:tc>
          <w:tcPr/>
          <w:p>
            <w:pPr>
              <w:pStyle w:val="Compact"/>
            </w:pPr>
            <w:r>
              <w:rPr>
                <w:rStyle w:val="VerbatimChar"/>
              </w:rPr>
              <w:t xml:space="preserve">CWE-540</w:t>
            </w:r>
            <w:r>
              <w:t xml:space="preserve"> </w:t>
            </w:r>
            <w:r>
              <w:t xml:space="preserve">(not RCE)</w:t>
            </w:r>
          </w:p>
        </w:tc>
        <w:tc>
          <w:tcPr/>
          <w:p>
            <w:pPr>
              <w:pStyle w:val="Compact"/>
            </w:pPr>
            <w:r>
              <w:t xml:space="preserve">Not mis-mapped to</w:t>
            </w:r>
            <w:r>
              <w:t xml:space="preserve"> </w:t>
            </w:r>
            <w:r>
              <w:rPr>
                <w:rStyle w:val="VerbatimChar"/>
              </w:rPr>
              <w:t xml:space="preserve">CWE-94</w:t>
            </w:r>
          </w:p>
        </w:tc>
      </w:tr>
      <w:tr>
        <w:tc>
          <w:tcPr/>
          <w:p>
            <w:pPr>
              <w:pStyle w:val="Compact"/>
            </w:pPr>
            <w:r>
              <w:t xml:space="preserve">WB-03</w:t>
            </w:r>
          </w:p>
        </w:tc>
        <w:tc>
          <w:tcPr/>
          <w:p>
            <w:pPr>
              <w:pStyle w:val="Compact"/>
            </w:pPr>
            <w:r>
              <w:t xml:space="preserve">CWE-0 normalisation</w:t>
            </w:r>
          </w:p>
        </w:tc>
        <w:tc>
          <w:tcPr/>
          <w:p>
            <w:pPr>
              <w:pStyle w:val="Compact"/>
            </w:pPr>
            <w:r>
              <w:t xml:space="preserve">Scanner</w:t>
            </w:r>
            <w:r>
              <w:t xml:space="preserve"> </w:t>
            </w:r>
            <w:r>
              <w:rPr>
                <w:rStyle w:val="VerbatimChar"/>
              </w:rPr>
              <w:t xml:space="preserve">cweid=0</w:t>
            </w:r>
          </w:p>
        </w:tc>
        <w:tc>
          <w:tcPr/>
          <w:p>
            <w:pPr>
              <w:pStyle w:val="Compact"/>
            </w:pPr>
            <w:r>
              <w:rPr>
                <w:rStyle w:val="VerbatimChar"/>
              </w:rPr>
              <w:t xml:space="preserve">None</w:t>
            </w:r>
          </w:p>
        </w:tc>
        <w:tc>
          <w:tcPr/>
          <w:p>
            <w:pPr>
              <w:pStyle w:val="Compact"/>
            </w:pPr>
            <w:r>
              <w:t xml:space="preserve">Placeholder dropped, not stored</w:t>
            </w:r>
          </w:p>
        </w:tc>
      </w:tr>
      <w:tr>
        <w:tc>
          <w:tcPr/>
          <w:p>
            <w:pPr>
              <w:pStyle w:val="Compact"/>
            </w:pPr>
            <w:r>
              <w:t xml:space="preserve">WB-04</w:t>
            </w:r>
          </w:p>
        </w:tc>
        <w:tc>
          <w:tcPr/>
          <w:p>
            <w:pPr>
              <w:pStyle w:val="Compact"/>
            </w:pPr>
            <w:r>
              <w:t xml:space="preserve">NVD CWE back-fill</w:t>
            </w:r>
          </w:p>
        </w:tc>
        <w:tc>
          <w:tcPr/>
          <w:p>
            <w:pPr>
              <w:pStyle w:val="Compact"/>
            </w:pPr>
            <w:r>
              <w:t xml:space="preserve">CVE record with weaknesses</w:t>
            </w:r>
          </w:p>
        </w:tc>
        <w:tc>
          <w:tcPr/>
          <w:p>
            <w:pPr>
              <w:pStyle w:val="Compact"/>
            </w:pPr>
            <w:r>
              <w:t xml:space="preserve">Primary CWE extracted</w:t>
            </w:r>
          </w:p>
        </w:tc>
        <w:tc>
          <w:tcPr/>
          <w:p>
            <w:pPr>
              <w:pStyle w:val="Compact"/>
            </w:pPr>
            <w:r>
              <w:t xml:space="preserve">CWE matches the NVD Primary weakness</w:t>
            </w:r>
          </w:p>
        </w:tc>
      </w:tr>
      <w:tr>
        <w:tc>
          <w:tcPr/>
          <w:p>
            <w:pPr>
              <w:pStyle w:val="Compact"/>
            </w:pPr>
            <w:r>
              <w:t xml:space="preserve">WB-05</w:t>
            </w:r>
          </w:p>
        </w:tc>
        <w:tc>
          <w:tcPr/>
          <w:p>
            <w:pPr>
              <w:pStyle w:val="Compact"/>
            </w:pPr>
            <w:r>
              <w:t xml:space="preserve">Confidence engine</w:t>
            </w:r>
          </w:p>
        </w:tc>
        <w:tc>
          <w:tcPr/>
          <w:p>
            <w:pPr>
              <w:pStyle w:val="Compact"/>
            </w:pPr>
            <w:r>
              <w:t xml:space="preserve">Confirmed PoC on a finding</w:t>
            </w:r>
          </w:p>
        </w:tc>
        <w:tc>
          <w:tcPr/>
          <w:p>
            <w:pPr>
              <w:pStyle w:val="Compact"/>
            </w:pPr>
            <w:r>
              <w:t xml:space="preserve">Classification "Confirmed", score ≥ 70</w:t>
            </w:r>
          </w:p>
        </w:tc>
        <w:tc>
          <w:tcPr/>
          <w:p>
            <w:pPr>
              <w:pStyle w:val="Compact"/>
            </w:pPr>
            <w:r>
              <w:t xml:space="preserve">Override applied, score in 70–100 band</w:t>
            </w:r>
          </w:p>
        </w:tc>
      </w:tr>
      <w:tr>
        <w:tc>
          <w:tcPr/>
          <w:p>
            <w:pPr>
              <w:pStyle w:val="Compact"/>
            </w:pPr>
            <w:r>
              <w:t xml:space="preserve">WB-06</w:t>
            </w:r>
          </w:p>
        </w:tc>
        <w:tc>
          <w:tcPr/>
          <w:p>
            <w:pPr>
              <w:pStyle w:val="Compact"/>
            </w:pPr>
            <w:r>
              <w:t xml:space="preserve">HTML sanitiser</w:t>
            </w:r>
          </w:p>
        </w:tc>
        <w:tc>
          <w:tcPr/>
          <w:p>
            <w:pPr>
              <w:pStyle w:val="Compact"/>
            </w:pPr>
            <w:r>
              <w:rPr>
                <w:rStyle w:val="VerbatimChar"/>
              </w:rPr>
              <w:t xml:space="preserve">&lt;p&gt;SQL injection…&lt;/p&gt;</w:t>
            </w:r>
          </w:p>
        </w:tc>
        <w:tc>
          <w:tcPr/>
          <w:p>
            <w:pPr>
              <w:pStyle w:val="Compact"/>
            </w:pPr>
            <w:r>
              <w:t xml:space="preserve">Plain text, tags removed</w:t>
            </w:r>
          </w:p>
        </w:tc>
        <w:tc>
          <w:tcPr/>
          <w:p>
            <w:pPr>
              <w:pStyle w:val="Compact"/>
            </w:pPr>
            <w:r>
              <w:t xml:space="preserve">No markup in output</w:t>
            </w:r>
          </w:p>
        </w:tc>
      </w:tr>
      <w:tr>
        <w:tc>
          <w:tcPr/>
          <w:p>
            <w:pPr>
              <w:pStyle w:val="Compact"/>
            </w:pPr>
            <w:r>
              <w:t xml:space="preserve">WB-07</w:t>
            </w:r>
          </w:p>
        </w:tc>
        <w:tc>
          <w:tcPr/>
          <w:p>
            <w:pPr>
              <w:pStyle w:val="Compact"/>
            </w:pPr>
            <w:r>
              <w:t xml:space="preserve">PoC scope guard</w:t>
            </w:r>
          </w:p>
        </w:tc>
        <w:tc>
          <w:tcPr/>
          <w:p>
            <w:pPr>
              <w:pStyle w:val="Compact"/>
            </w:pPr>
            <w:r>
              <w:rPr>
                <w:rStyle w:val="VerbatimChar"/>
              </w:rPr>
              <w:t xml:space="preserve">--scope localhost:3000</w:t>
            </w:r>
          </w:p>
        </w:tc>
        <w:tc>
          <w:tcPr/>
          <w:p>
            <w:pPr>
              <w:pStyle w:val="Compact"/>
            </w:pPr>
            <w:r>
              <w:t xml:space="preserve">Host</w:t>
            </w:r>
            <w:r>
              <w:t xml:space="preserve"> </w:t>
            </w:r>
            <w:r>
              <w:rPr>
                <w:rStyle w:val="VerbatimChar"/>
              </w:rPr>
              <w:t xml:space="preserve">localhost</w:t>
            </w:r>
            <w:r>
              <w:t xml:space="preserve"> </w:t>
            </w:r>
            <w:r>
              <w:t xml:space="preserve">treated in-scope</w:t>
            </w:r>
          </w:p>
        </w:tc>
        <w:tc>
          <w:tcPr/>
          <w:p>
            <w:pPr>
              <w:pStyle w:val="Compact"/>
            </w:pPr>
            <w:r>
              <w:t xml:space="preserve">Probe attempted, not skipped</w:t>
            </w:r>
          </w:p>
        </w:tc>
      </w:tr>
    </w:tbl>
    <w:bookmarkEnd w:id="14"/>
    <w:bookmarkStart w:id="15" w:name="X23f84071dd34867759c14c4c504e603ee9da366"/>
    <w:p>
      <w:pPr>
        <w:pStyle w:val="Heading3"/>
      </w:pPr>
      <w:r>
        <w:t xml:space="preserve">5.2.3 Technique 2 — User Acceptance Testing with the System Usability Scale: Plan</w:t>
      </w:r>
    </w:p>
    <w:p>
      <w:pPr>
        <w:pStyle w:val="FirstParagraph"/>
      </w:pPr>
      <w:r>
        <w:t xml:space="preserve">UAT was chosen as the second technique because correctness alone does not make a tool adopted — an analyst must be able to</w:t>
      </w:r>
      <w:r>
        <w:t xml:space="preserve"> </w:t>
      </w:r>
      <w:r>
        <w:rPr>
          <w:i/>
          <w:iCs/>
        </w:rPr>
        <w:t xml:space="preserve">operate</w:t>
      </w:r>
      <w:r>
        <w:t xml:space="preserve"> </w:t>
      </w:r>
      <w:r>
        <w:t xml:space="preserve">the system and</w:t>
      </w:r>
      <w:r>
        <w:t xml:space="preserve"> </w:t>
      </w:r>
      <w:r>
        <w:rPr>
          <w:i/>
          <w:iCs/>
        </w:rPr>
        <w:t xml:space="preserve">trust</w:t>
      </w:r>
      <w:r>
        <w:t xml:space="preserve"> </w:t>
      </w:r>
      <w:r>
        <w:t xml:space="preserve">its output. UAT places the finished system in front of representative users, has them complete realistic tasks, and then measures perceived usability with the</w:t>
      </w:r>
      <w:r>
        <w:t xml:space="preserve"> </w:t>
      </w:r>
      <w:r>
        <w:rPr>
          <w:b/>
          <w:bCs/>
        </w:rPr>
        <w:t xml:space="preserve">System Usability Scale (SUS)</w:t>
      </w:r>
      <w:r>
        <w:t xml:space="preserve">, a validated, industry-standard 10-item questionnaire. SUS was selected over ad-hoc feedback because it produces a single comparable score (0–100) with well-established interpretation benchmarks, and it is reliable even with small sample sizes, which suits a final-year project.</w:t>
      </w:r>
    </w:p>
    <w:p>
      <w:pPr>
        <w:pStyle w:val="BodyText"/>
      </w:pPr>
      <w:r>
        <w:rPr>
          <w:b/>
          <w:bCs/>
        </w:rPr>
        <w:t xml:space="preserve">Target audience and participants.</w:t>
      </w:r>
      <w:r>
        <w:t xml:space="preserve"> </w:t>
      </w:r>
      <w:r>
        <w:t xml:space="preserve">The intended users of VulnTriage are people who triage vulnerability-scanner output:</w:t>
      </w:r>
      <w:r>
        <w:t xml:space="preserve"> </w:t>
      </w:r>
      <w:r>
        <w:rPr>
          <w:b/>
          <w:bCs/>
        </w:rPr>
        <w:t xml:space="preserve">cybersecurity students, junior security analysts, and IT security staff</w:t>
      </w:r>
      <w:r>
        <w:t xml:space="preserve">. In accordance with the requirement,</w:t>
      </w:r>
      <w:r>
        <w:t xml:space="preserve"> </w:t>
      </w:r>
      <w:r>
        <w:rPr>
          <w:b/>
          <w:bCs/>
        </w:rPr>
        <w:t xml:space="preserve">at least three (3) testers</w:t>
      </w:r>
      <w:r>
        <w:t xml:space="preserve"> </w:t>
      </w:r>
      <w:r>
        <w:t xml:space="preserve">drawn from this audience will participate. Table 5.2 records the (anonymised) participant profile to be completed during testing.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Tester</w:t>
            </w:r>
          </w:p>
        </w:tc>
        <w:tc>
          <w:tcPr/>
          <w:p>
            <w:pPr>
              <w:pStyle w:val="Compact"/>
            </w:pPr>
            <w:r>
              <w:t xml:space="preserve">Role / background</w:t>
            </w:r>
          </w:p>
        </w:tc>
        <w:tc>
          <w:tcPr/>
          <w:p>
            <w:pPr>
              <w:pStyle w:val="Compact"/>
            </w:pPr>
            <w:r>
              <w:t xml:space="preserve">Security-tool experience (None/Some/Experienced)</w:t>
            </w:r>
          </w:p>
        </w:tc>
        <w:tc>
          <w:tcPr/>
          <w:p>
            <w:pPr>
              <w:pStyle w:val="Compact"/>
            </w:pPr>
            <w:r>
              <w:t xml:space="preserve">Date tested</w:t>
            </w:r>
          </w:p>
        </w:tc>
      </w:tr>
      <w:tr>
        <w:tc>
          <w:tcPr/>
          <w:p>
            <w:pPr>
              <w:pStyle w:val="Compact"/>
            </w:pPr>
            <w:r>
              <w:t xml:space="preserve">P1</w:t>
            </w:r>
          </w:p>
        </w:tc>
        <w:tc>
          <w:tcPr/>
          <w:p>
            <w:pPr>
              <w:pStyle w:val="Compact"/>
            </w:pPr>
            <w:r>
              <w:t xml:space="preserve">______________</w:t>
            </w:r>
          </w:p>
        </w:tc>
        <w:tc>
          <w:tcPr/>
          <w:p>
            <w:pPr>
              <w:pStyle w:val="Compact"/>
            </w:pPr>
            <w:r>
              <w:t xml:space="preserve">______________</w:t>
            </w:r>
          </w:p>
        </w:tc>
        <w:tc>
          <w:tcPr/>
          <w:p>
            <w:pPr>
              <w:pStyle w:val="Compact"/>
            </w:pPr>
            <w:r>
              <w:t xml:space="preserve">__________</w:t>
            </w:r>
          </w:p>
        </w:tc>
      </w:tr>
      <w:tr>
        <w:tc>
          <w:tcPr/>
          <w:p>
            <w:pPr>
              <w:pStyle w:val="Compact"/>
            </w:pPr>
            <w:r>
              <w:t xml:space="preserve">P2</w:t>
            </w:r>
          </w:p>
        </w:tc>
        <w:tc>
          <w:tcPr/>
          <w:p>
            <w:pPr>
              <w:pStyle w:val="Compact"/>
            </w:pPr>
            <w:r>
              <w:t xml:space="preserve">______________</w:t>
            </w:r>
          </w:p>
        </w:tc>
        <w:tc>
          <w:tcPr/>
          <w:p>
            <w:pPr>
              <w:pStyle w:val="Compact"/>
            </w:pPr>
            <w:r>
              <w:t xml:space="preserve">______________</w:t>
            </w:r>
          </w:p>
        </w:tc>
        <w:tc>
          <w:tcPr/>
          <w:p>
            <w:pPr>
              <w:pStyle w:val="Compact"/>
            </w:pPr>
            <w:r>
              <w:t xml:space="preserve">__________</w:t>
            </w:r>
          </w:p>
        </w:tc>
      </w:tr>
      <w:tr>
        <w:tc>
          <w:tcPr/>
          <w:p>
            <w:pPr>
              <w:pStyle w:val="Compact"/>
            </w:pPr>
            <w:r>
              <w:t xml:space="preserve">P3</w:t>
            </w:r>
          </w:p>
        </w:tc>
        <w:tc>
          <w:tcPr/>
          <w:p>
            <w:pPr>
              <w:pStyle w:val="Compact"/>
            </w:pPr>
            <w:r>
              <w:t xml:space="preserve">______________</w:t>
            </w:r>
          </w:p>
        </w:tc>
        <w:tc>
          <w:tcPr/>
          <w:p>
            <w:pPr>
              <w:pStyle w:val="Compact"/>
            </w:pPr>
            <w:r>
              <w:t xml:space="preserve">______________</w:t>
            </w:r>
          </w:p>
        </w:tc>
        <w:tc>
          <w:tcPr/>
          <w:p>
            <w:pPr>
              <w:pStyle w:val="Compact"/>
            </w:pPr>
            <w:r>
              <w:t xml:space="preserve">__________</w:t>
            </w:r>
          </w:p>
        </w:tc>
      </w:tr>
    </w:tbl>
    <w:p>
      <w:pPr>
        <w:pStyle w:val="BodyText"/>
      </w:pPr>
      <w:r>
        <w:rPr>
          <w:b/>
          <w:bCs/>
        </w:rPr>
        <w:t xml:space="preserve">Table 5.2: UAT Participant Profile (to be completed with real testers)</w:t>
      </w:r>
    </w:p>
    <w:p>
      <w:pPr>
        <w:pStyle w:val="BodyText"/>
      </w:pPr>
      <w:r>
        <w:rPr>
          <w:b/>
          <w:bCs/>
        </w:rPr>
        <w:t xml:space="preserve">Procedure.</w:t>
      </w:r>
      <w:r>
        <w:t xml:space="preserve"> </w:t>
      </w:r>
      <w:r>
        <w:t xml:space="preserve">Each participant is given a short briefing, the authorisation and scope note (testing is only against the provided deliberately-vulnerable target, e.g. a local OWASP Juice Shop), and then asked to complete the task scenarios in Table 5.3 unaided. The facilitator records, per task, whether it was completed, the time taken, the number of errors, and whether assistance was needed. Immediately afterwards, the participant completes the SUS questionnaire (Table 5.4).</w:t>
      </w:r>
    </w:p>
    <w:p>
      <w:pPr>
        <w:pStyle w:val="BodyText"/>
      </w:pPr>
      <w:r>
        <w:rPr>
          <w:b/>
          <w:bCs/>
        </w:rPr>
        <w:t xml:space="preserve">Task scenarios.</w:t>
      </w:r>
      <w:r>
        <w:t xml:space="preserve"> </w:t>
      </w:r>
      <w:r>
        <w:t xml:space="preserve">The tasks were designed to exercise the full analyst workflow and every major feature.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Task ID</w:t>
            </w:r>
          </w:p>
        </w:tc>
        <w:tc>
          <w:tcPr/>
          <w:p>
            <w:pPr>
              <w:pStyle w:val="Compact"/>
            </w:pPr>
            <w:r>
              <w:t xml:space="preserve">Scenario</w:t>
            </w:r>
          </w:p>
        </w:tc>
        <w:tc>
          <w:tcPr/>
          <w:p>
            <w:pPr>
              <w:pStyle w:val="Compact"/>
            </w:pPr>
            <w:r>
              <w:t xml:space="preserve">Success criterion</w:t>
            </w:r>
          </w:p>
        </w:tc>
      </w:tr>
      <w:tr>
        <w:tc>
          <w:tcPr/>
          <w:p>
            <w:pPr>
              <w:pStyle w:val="Compact"/>
            </w:pPr>
            <w:r>
              <w:t xml:space="preserve">T1</w:t>
            </w:r>
          </w:p>
        </w:tc>
        <w:tc>
          <w:tcPr/>
          <w:p>
            <w:pPr>
              <w:pStyle w:val="Compact"/>
            </w:pPr>
            <w:r>
              <w:t xml:space="preserve">Register an account and log in.</w:t>
            </w:r>
          </w:p>
        </w:tc>
        <w:tc>
          <w:tcPr/>
          <w:p>
            <w:pPr>
              <w:pStyle w:val="Compact"/>
            </w:pPr>
            <w:r>
              <w:t xml:space="preserve">Reaches the dashboard authenticated.</w:t>
            </w:r>
          </w:p>
        </w:tc>
      </w:tr>
      <w:tr>
        <w:tc>
          <w:tcPr/>
          <w:p>
            <w:pPr>
              <w:pStyle w:val="Compact"/>
            </w:pPr>
            <w:r>
              <w:t xml:space="preserve">T2</w:t>
            </w:r>
          </w:p>
        </w:tc>
        <w:tc>
          <w:tcPr/>
          <w:p>
            <w:pPr>
              <w:pStyle w:val="Compact"/>
            </w:pPr>
            <w:r>
              <w:t xml:space="preserve">Upload a scanner report and run the triage pipeline.</w:t>
            </w:r>
          </w:p>
        </w:tc>
        <w:tc>
          <w:tcPr/>
          <w:p>
            <w:pPr>
              <w:pStyle w:val="Compact"/>
            </w:pPr>
            <w:r>
              <w:t xml:space="preserve">Findings appear, triaged and classified.</w:t>
            </w:r>
          </w:p>
        </w:tc>
      </w:tr>
      <w:tr>
        <w:tc>
          <w:tcPr/>
          <w:p>
            <w:pPr>
              <w:pStyle w:val="Compact"/>
            </w:pPr>
            <w:r>
              <w:t xml:space="preserve">T3</w:t>
            </w:r>
          </w:p>
        </w:tc>
        <w:tc>
          <w:tcPr/>
          <w:p>
            <w:pPr>
              <w:pStyle w:val="Compact"/>
            </w:pPr>
            <w:r>
              <w:t xml:space="preserve">From the dashboard, state how many findings are Confirmed vs the total.</w:t>
            </w:r>
          </w:p>
        </w:tc>
        <w:tc>
          <w:tcPr/>
          <w:p>
            <w:pPr>
              <w:pStyle w:val="Compact"/>
            </w:pPr>
            <w:r>
              <w:t xml:space="preserve">Reads the correct figures from the KPI cards/charts.</w:t>
            </w:r>
          </w:p>
        </w:tc>
      </w:tr>
      <w:tr>
        <w:tc>
          <w:tcPr/>
          <w:p>
            <w:pPr>
              <w:pStyle w:val="Compact"/>
            </w:pPr>
            <w:r>
              <w:t xml:space="preserve">T4</w:t>
            </w:r>
          </w:p>
        </w:tc>
        <w:tc>
          <w:tcPr/>
          <w:p>
            <w:pPr>
              <w:pStyle w:val="Compact"/>
            </w:pPr>
            <w:r>
              <w:t xml:space="preserve">Open a Confirmed finding and explain, in their own words,</w:t>
            </w:r>
            <w:r>
              <w:t xml:space="preserve"> </w:t>
            </w:r>
            <w:r>
              <w:rPr>
                <w:i/>
                <w:iCs/>
              </w:rPr>
              <w:t xml:space="preserve">why</w:t>
            </w:r>
            <w:r>
              <w:t xml:space="preserve"> </w:t>
            </w:r>
            <w:r>
              <w:t xml:space="preserve">it was confirmed.</w:t>
            </w:r>
          </w:p>
        </w:tc>
        <w:tc>
          <w:tcPr/>
          <w:p>
            <w:pPr>
              <w:pStyle w:val="Compact"/>
            </w:pPr>
            <w:r>
              <w:t xml:space="preserve">Correctly cites the confidence rationale / PoC evidence.</w:t>
            </w:r>
          </w:p>
        </w:tc>
      </w:tr>
      <w:tr>
        <w:tc>
          <w:tcPr/>
          <w:p>
            <w:pPr>
              <w:pStyle w:val="Compact"/>
            </w:pPr>
            <w:r>
              <w:t xml:space="preserve">T5</w:t>
            </w:r>
          </w:p>
        </w:tc>
        <w:tc>
          <w:tcPr/>
          <w:p>
            <w:pPr>
              <w:pStyle w:val="Compact"/>
            </w:pPr>
            <w:r>
              <w:t xml:space="preserve">Run an Auto Scan against the authorised target, acknowledging the authorisation control.</w:t>
            </w:r>
          </w:p>
        </w:tc>
        <w:tc>
          <w:tcPr/>
          <w:p>
            <w:pPr>
              <w:pStyle w:val="Compact"/>
            </w:pPr>
            <w:r>
              <w:t xml:space="preserve">Scan runs; understands the authorisation gate.</w:t>
            </w:r>
          </w:p>
        </w:tc>
      </w:tr>
      <w:tr>
        <w:tc>
          <w:tcPr/>
          <w:p>
            <w:pPr>
              <w:pStyle w:val="Compact"/>
            </w:pPr>
            <w:r>
              <w:t xml:space="preserve">T6</w:t>
            </w:r>
          </w:p>
        </w:tc>
        <w:tc>
          <w:tcPr/>
          <w:p>
            <w:pPr>
              <w:pStyle w:val="Compact"/>
            </w:pPr>
            <w:r>
              <w:t xml:space="preserve">Generate and download the PDF report (including the AI-assisted analysis).</w:t>
            </w:r>
          </w:p>
        </w:tc>
        <w:tc>
          <w:tcPr/>
          <w:p>
            <w:pPr>
              <w:pStyle w:val="Compact"/>
            </w:pPr>
            <w:r>
              <w:t xml:space="preserve">Obtains a report that includes the analysis section.</w:t>
            </w:r>
          </w:p>
        </w:tc>
      </w:tr>
    </w:tbl>
    <w:p>
      <w:pPr>
        <w:pStyle w:val="BodyText"/>
      </w:pPr>
      <w:r>
        <w:rPr>
          <w:b/>
          <w:bCs/>
        </w:rPr>
        <w:t xml:space="preserve">Table 5.3: UAT Task Scenarios</w:t>
      </w:r>
    </w:p>
    <w:p>
      <w:pPr>
        <w:pStyle w:val="BodyText"/>
      </w:pPr>
      <w:r>
        <w:rPr>
          <w:b/>
          <w:bCs/>
        </w:rPr>
        <w:t xml:space="preserve">Task-result capture template.</w:t>
      </w:r>
      <w:r>
        <w:t xml:space="preserve"> </w:t>
      </w:r>
      <w:r>
        <w:t xml:space="preserve">For each participant, task performance is recorded as in Table 5.5 (§5.3.2). The measures are: completion (✓/✗), time (seconds), errors (count), and assistance (Y/N).</w:t>
      </w:r>
    </w:p>
    <w:p>
      <w:pPr>
        <w:pStyle w:val="BodyText"/>
      </w:pPr>
      <w:r>
        <w:rPr>
          <w:b/>
          <w:bCs/>
        </w:rPr>
        <w:t xml:space="preserve">SUS questionnaire.</w:t>
      </w:r>
      <w:r>
        <w:t xml:space="preserve"> </w:t>
      </w:r>
      <w:r>
        <w:t xml:space="preserve">After the tasks, each participant rates the ten standard SUS statements on a 5-point scale (1 = Strongly Disagree … 5 = Strongly Agree). The statements are given verbatim in Table 5.4; they deliberately alternate between positive and negative wording, which is handled by the scoring method in §5.3.2.</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SUS statement (rate 1–5)</w:t>
            </w:r>
          </w:p>
        </w:tc>
      </w:tr>
      <w:tr>
        <w:tc>
          <w:tcPr/>
          <w:p>
            <w:pPr>
              <w:pStyle w:val="Compact"/>
            </w:pPr>
            <w:r>
              <w:t xml:space="preserve">Q1</w:t>
            </w:r>
          </w:p>
        </w:tc>
        <w:tc>
          <w:tcPr/>
          <w:p>
            <w:pPr>
              <w:pStyle w:val="Compact"/>
            </w:pPr>
            <w:r>
              <w:t xml:space="preserve">I think that I would like to use this system frequently.</w:t>
            </w:r>
          </w:p>
        </w:tc>
      </w:tr>
      <w:tr>
        <w:tc>
          <w:tcPr/>
          <w:p>
            <w:pPr>
              <w:pStyle w:val="Compact"/>
            </w:pPr>
            <w:r>
              <w:t xml:space="preserve">Q2</w:t>
            </w:r>
          </w:p>
        </w:tc>
        <w:tc>
          <w:tcPr/>
          <w:p>
            <w:pPr>
              <w:pStyle w:val="Compact"/>
            </w:pPr>
            <w:r>
              <w:t xml:space="preserve">I found the system unnecessarily complex.</w:t>
            </w:r>
          </w:p>
        </w:tc>
      </w:tr>
      <w:tr>
        <w:tc>
          <w:tcPr/>
          <w:p>
            <w:pPr>
              <w:pStyle w:val="Compact"/>
            </w:pPr>
            <w:r>
              <w:t xml:space="preserve">Q3</w:t>
            </w:r>
          </w:p>
        </w:tc>
        <w:tc>
          <w:tcPr/>
          <w:p>
            <w:pPr>
              <w:pStyle w:val="Compact"/>
            </w:pPr>
            <w:r>
              <w:t xml:space="preserve">I thought the system was easy to use.</w:t>
            </w:r>
          </w:p>
        </w:tc>
      </w:tr>
      <w:tr>
        <w:tc>
          <w:tcPr/>
          <w:p>
            <w:pPr>
              <w:pStyle w:val="Compact"/>
            </w:pPr>
            <w:r>
              <w:t xml:space="preserve">Q4</w:t>
            </w:r>
          </w:p>
        </w:tc>
        <w:tc>
          <w:tcPr/>
          <w:p>
            <w:pPr>
              <w:pStyle w:val="Compact"/>
            </w:pPr>
            <w:r>
              <w:t xml:space="preserve">I think that I would need the support of a technical person to be able to use this system.</w:t>
            </w:r>
          </w:p>
        </w:tc>
      </w:tr>
      <w:tr>
        <w:tc>
          <w:tcPr/>
          <w:p>
            <w:pPr>
              <w:pStyle w:val="Compact"/>
            </w:pPr>
            <w:r>
              <w:t xml:space="preserve">Q5</w:t>
            </w:r>
          </w:p>
        </w:tc>
        <w:tc>
          <w:tcPr/>
          <w:p>
            <w:pPr>
              <w:pStyle w:val="Compact"/>
            </w:pPr>
            <w:r>
              <w:t xml:space="preserve">I found the various functions in this system were well integrated.</w:t>
            </w:r>
          </w:p>
        </w:tc>
      </w:tr>
      <w:tr>
        <w:tc>
          <w:tcPr/>
          <w:p>
            <w:pPr>
              <w:pStyle w:val="Compact"/>
            </w:pPr>
            <w:r>
              <w:t xml:space="preserve">Q6</w:t>
            </w:r>
          </w:p>
        </w:tc>
        <w:tc>
          <w:tcPr/>
          <w:p>
            <w:pPr>
              <w:pStyle w:val="Compact"/>
            </w:pPr>
            <w:r>
              <w:t xml:space="preserve">I thought there was too much inconsistency in this system.</w:t>
            </w:r>
          </w:p>
        </w:tc>
      </w:tr>
      <w:tr>
        <w:tc>
          <w:tcPr/>
          <w:p>
            <w:pPr>
              <w:pStyle w:val="Compact"/>
            </w:pPr>
            <w:r>
              <w:t xml:space="preserve">Q7</w:t>
            </w:r>
          </w:p>
        </w:tc>
        <w:tc>
          <w:tcPr/>
          <w:p>
            <w:pPr>
              <w:pStyle w:val="Compact"/>
            </w:pPr>
            <w:r>
              <w:t xml:space="preserve">I would imagine that most people would learn to use this system very quickly.</w:t>
            </w:r>
          </w:p>
        </w:tc>
      </w:tr>
      <w:tr>
        <w:tc>
          <w:tcPr/>
          <w:p>
            <w:pPr>
              <w:pStyle w:val="Compact"/>
            </w:pPr>
            <w:r>
              <w:t xml:space="preserve">Q8</w:t>
            </w:r>
          </w:p>
        </w:tc>
        <w:tc>
          <w:tcPr/>
          <w:p>
            <w:pPr>
              <w:pStyle w:val="Compact"/>
            </w:pPr>
            <w:r>
              <w:t xml:space="preserve">I found the system very cumbersome to use.</w:t>
            </w:r>
          </w:p>
        </w:tc>
      </w:tr>
      <w:tr>
        <w:tc>
          <w:tcPr/>
          <w:p>
            <w:pPr>
              <w:pStyle w:val="Compact"/>
            </w:pPr>
            <w:r>
              <w:t xml:space="preserve">Q9</w:t>
            </w:r>
          </w:p>
        </w:tc>
        <w:tc>
          <w:tcPr/>
          <w:p>
            <w:pPr>
              <w:pStyle w:val="Compact"/>
            </w:pPr>
            <w:r>
              <w:t xml:space="preserve">I felt very confident using the system.</w:t>
            </w:r>
          </w:p>
        </w:tc>
      </w:tr>
      <w:tr>
        <w:tc>
          <w:tcPr/>
          <w:p>
            <w:pPr>
              <w:pStyle w:val="Compact"/>
            </w:pPr>
            <w:r>
              <w:t xml:space="preserve">Q10</w:t>
            </w:r>
          </w:p>
        </w:tc>
        <w:tc>
          <w:tcPr/>
          <w:p>
            <w:pPr>
              <w:pStyle w:val="Compact"/>
            </w:pPr>
            <w:r>
              <w:t xml:space="preserve">I needed to learn a lot of things before I could get going with this system.</w:t>
            </w:r>
          </w:p>
        </w:tc>
      </w:tr>
    </w:tbl>
    <w:p>
      <w:pPr>
        <w:pStyle w:val="BodyText"/>
      </w:pPr>
      <w:r>
        <w:rPr>
          <w:b/>
          <w:bCs/>
        </w:rPr>
        <w:t xml:space="preserve">Table 5.4: System Usability Scale Questionnaire</w:t>
      </w:r>
    </w:p>
    <w:p>
      <w:r>
        <w:pict>
          <v:rect style="width:0;height:1.5pt" o:hralign="center" o:hrstd="t" o:hr="t"/>
        </w:pict>
      </w:r>
    </w:p>
    <w:bookmarkEnd w:id="15"/>
    <w:bookmarkEnd w:id="16"/>
    <w:bookmarkStart w:id="19" w:name="Xdf8304cc98c46e7ba29fa90a2df6e3c66112698"/>
    <w:p>
      <w:pPr>
        <w:pStyle w:val="Heading2"/>
      </w:pPr>
      <w:r>
        <w:t xml:space="preserve">5.3 System Testing and Discussion</w:t>
      </w:r>
    </w:p>
    <w:bookmarkStart w:id="17" w:name="Xe54b60e6242bc7084a06858fee81f61bf803f0e"/>
    <w:p>
      <w:pPr>
        <w:pStyle w:val="Heading3"/>
      </w:pPr>
      <w:r>
        <w:t xml:space="preserve">5.3.1 White-Box Testing — Execution and Results</w:t>
      </w:r>
    </w:p>
    <w:p>
      <w:pPr>
        <w:pStyle w:val="FirstParagraph"/>
      </w:pPr>
      <w:r>
        <w:rPr>
          <w:b/>
          <w:bCs/>
        </w:rPr>
        <w:t xml:space="preserve">Automated test-suite results (real).</w:t>
      </w:r>
      <w:r>
        <w:t xml:space="preserve"> </w:t>
      </w:r>
      <w:r>
        <w:t xml:space="preserve">The complete pytest suite was executed with</w:t>
      </w:r>
      <w:r>
        <w:t xml:space="preserve"> </w:t>
      </w:r>
      <w:r>
        <w:rPr>
          <w:rStyle w:val="VerbatimChar"/>
        </w:rPr>
        <w:t xml:space="preserve">python -m pytest</w:t>
      </w:r>
      <w:r>
        <w:t xml:space="preserve">.</w:t>
      </w:r>
      <w:r>
        <w:t xml:space="preserve"> </w:t>
      </w:r>
      <w:r>
        <w:rPr>
          <w:b/>
          <w:bCs/>
        </w:rPr>
        <w:t xml:space="preserve">All 97 tests pass.</w:t>
      </w:r>
      <w:r>
        <w:t xml:space="preserve"> </w:t>
      </w:r>
      <w:r>
        <w:t xml:space="preserve">Table 5.6 breaks the results down by module, showing that every major engine and helper is covered.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Test module</w:t>
            </w:r>
          </w:p>
        </w:tc>
        <w:tc>
          <w:tcPr/>
          <w:p>
            <w:pPr>
              <w:pStyle w:val="Compact"/>
            </w:pPr>
            <w:r>
              <w:t xml:space="preserve">Component under test</w:t>
            </w:r>
          </w:p>
        </w:tc>
        <w:tc>
          <w:tcPr/>
          <w:p>
            <w:pPr>
              <w:pStyle w:val="Compact"/>
              <w:jc w:val="center"/>
            </w:pPr>
            <w:r>
              <w:t xml:space="preserve">Tests</w:t>
            </w:r>
          </w:p>
        </w:tc>
        <w:tc>
          <w:tcPr/>
          <w:p>
            <w:pPr>
              <w:pStyle w:val="Compact"/>
              <w:jc w:val="center"/>
            </w:pPr>
            <w:r>
              <w:t xml:space="preserve">Result</w:t>
            </w:r>
          </w:p>
        </w:tc>
      </w:tr>
      <w:tr>
        <w:tc>
          <w:tcPr/>
          <w:p>
            <w:pPr>
              <w:pStyle w:val="Compact"/>
            </w:pPr>
            <w:r>
              <w:rPr>
                <w:rStyle w:val="VerbatimChar"/>
              </w:rPr>
              <w:t xml:space="preserve">test_cwe_mapper.py</w:t>
            </w:r>
          </w:p>
        </w:tc>
        <w:tc>
          <w:tcPr/>
          <w:p>
            <w:pPr>
              <w:pStyle w:val="Compact"/>
            </w:pPr>
            <w:r>
              <w:t xml:space="preserve">CWE keyword mapper (patterns, ordering, regressions)</w:t>
            </w:r>
          </w:p>
        </w:tc>
        <w:tc>
          <w:tcPr/>
          <w:p>
            <w:pPr>
              <w:pStyle w:val="Compact"/>
              <w:jc w:val="center"/>
            </w:pPr>
            <w:r>
              <w:t xml:space="preserve">27</w:t>
            </w:r>
          </w:p>
        </w:tc>
        <w:tc>
          <w:tcPr/>
          <w:p>
            <w:pPr>
              <w:pStyle w:val="Compact"/>
              <w:jc w:val="center"/>
            </w:pPr>
            <w:r>
              <w:t xml:space="preserve">Pass</w:t>
            </w:r>
          </w:p>
        </w:tc>
      </w:tr>
      <w:tr>
        <w:tc>
          <w:tcPr/>
          <w:p>
            <w:pPr>
              <w:pStyle w:val="Compact"/>
            </w:pPr>
            <w:r>
              <w:rPr>
                <w:rStyle w:val="VerbatimChar"/>
              </w:rPr>
              <w:t xml:space="preserve">test_cwe_normalization.py</w:t>
            </w:r>
          </w:p>
        </w:tc>
        <w:tc>
          <w:tcPr/>
          <w:p>
            <w:pPr>
              <w:pStyle w:val="Compact"/>
            </w:pPr>
            <w:r>
              <w:t xml:space="preserve">CWE-0 / placeholder normalisation</w:t>
            </w:r>
          </w:p>
        </w:tc>
        <w:tc>
          <w:tcPr/>
          <w:p>
            <w:pPr>
              <w:pStyle w:val="Compact"/>
              <w:jc w:val="center"/>
            </w:pPr>
            <w:r>
              <w:t xml:space="preserve">11</w:t>
            </w:r>
          </w:p>
        </w:tc>
        <w:tc>
          <w:tcPr/>
          <w:p>
            <w:pPr>
              <w:pStyle w:val="Compact"/>
              <w:jc w:val="center"/>
            </w:pPr>
            <w:r>
              <w:t xml:space="preserve">Pass</w:t>
            </w:r>
          </w:p>
        </w:tc>
      </w:tr>
      <w:tr>
        <w:tc>
          <w:tcPr/>
          <w:p>
            <w:pPr>
              <w:pStyle w:val="Compact"/>
            </w:pPr>
            <w:r>
              <w:rPr>
                <w:rStyle w:val="VerbatimChar"/>
              </w:rPr>
              <w:t xml:space="preserve">test_confidence_engine.py</w:t>
            </w:r>
          </w:p>
        </w:tc>
        <w:tc>
          <w:tcPr/>
          <w:p>
            <w:pPr>
              <w:pStyle w:val="Compact"/>
            </w:pPr>
            <w:r>
              <w:t xml:space="preserve">Six-factor confidence scoring &amp; classification</w:t>
            </w:r>
          </w:p>
        </w:tc>
        <w:tc>
          <w:tcPr/>
          <w:p>
            <w:pPr>
              <w:pStyle w:val="Compact"/>
              <w:jc w:val="center"/>
            </w:pPr>
            <w:r>
              <w:t xml:space="preserve">9</w:t>
            </w:r>
          </w:p>
        </w:tc>
        <w:tc>
          <w:tcPr/>
          <w:p>
            <w:pPr>
              <w:pStyle w:val="Compact"/>
              <w:jc w:val="center"/>
            </w:pPr>
            <w:r>
              <w:t xml:space="preserve">Pass</w:t>
            </w:r>
          </w:p>
        </w:tc>
      </w:tr>
      <w:tr>
        <w:tc>
          <w:tcPr/>
          <w:p>
            <w:pPr>
              <w:pStyle w:val="Compact"/>
            </w:pPr>
            <w:r>
              <w:rPr>
                <w:rStyle w:val="VerbatimChar"/>
              </w:rPr>
              <w:t xml:space="preserve">test_nvd_enrichment.py</w:t>
            </w:r>
          </w:p>
        </w:tc>
        <w:tc>
          <w:tcPr/>
          <w:p>
            <w:pPr>
              <w:pStyle w:val="Compact"/>
            </w:pPr>
            <w:r>
              <w:t xml:space="preserve">NVD CVSS + CWE back-fill</w:t>
            </w:r>
          </w:p>
        </w:tc>
        <w:tc>
          <w:tcPr/>
          <w:p>
            <w:pPr>
              <w:pStyle w:val="Compact"/>
              <w:jc w:val="center"/>
            </w:pPr>
            <w:r>
              <w:t xml:space="preserve">7</w:t>
            </w:r>
          </w:p>
        </w:tc>
        <w:tc>
          <w:tcPr/>
          <w:p>
            <w:pPr>
              <w:pStyle w:val="Compact"/>
              <w:jc w:val="center"/>
            </w:pPr>
            <w:r>
              <w:t xml:space="preserve">Pass</w:t>
            </w:r>
          </w:p>
        </w:tc>
      </w:tr>
      <w:tr>
        <w:tc>
          <w:tcPr/>
          <w:p>
            <w:pPr>
              <w:pStyle w:val="Compact"/>
            </w:pPr>
            <w:r>
              <w:rPr>
                <w:rStyle w:val="VerbatimChar"/>
              </w:rPr>
              <w:t xml:space="preserve">test_html_to_text.py</w:t>
            </w:r>
          </w:p>
        </w:tc>
        <w:tc>
          <w:tcPr/>
          <w:p>
            <w:pPr>
              <w:pStyle w:val="Compact"/>
            </w:pPr>
            <w:r>
              <w:t xml:space="preserve">HTML-to-text sanitiser</w:t>
            </w:r>
          </w:p>
        </w:tc>
        <w:tc>
          <w:tcPr/>
          <w:p>
            <w:pPr>
              <w:pStyle w:val="Compact"/>
              <w:jc w:val="center"/>
            </w:pPr>
            <w:r>
              <w:t xml:space="preserve">7</w:t>
            </w:r>
          </w:p>
        </w:tc>
        <w:tc>
          <w:tcPr/>
          <w:p>
            <w:pPr>
              <w:pStyle w:val="Compact"/>
              <w:jc w:val="center"/>
            </w:pPr>
            <w:r>
              <w:t xml:space="preserve">Pass</w:t>
            </w:r>
          </w:p>
        </w:tc>
      </w:tr>
      <w:tr>
        <w:tc>
          <w:tcPr/>
          <w:p>
            <w:pPr>
              <w:pStyle w:val="Compact"/>
            </w:pPr>
            <w:r>
              <w:rPr>
                <w:rStyle w:val="VerbatimChar"/>
              </w:rPr>
              <w:t xml:space="preserve">test_ai_summary.py</w:t>
            </w:r>
          </w:p>
        </w:tc>
        <w:tc>
          <w:tcPr/>
          <w:p>
            <w:pPr>
              <w:pStyle w:val="Compact"/>
            </w:pPr>
            <w:r>
              <w:t xml:space="preserve">AI-Assisted Analysis engine (Gemini/Claude)</w:t>
            </w:r>
          </w:p>
        </w:tc>
        <w:tc>
          <w:tcPr/>
          <w:p>
            <w:pPr>
              <w:pStyle w:val="Compact"/>
              <w:jc w:val="center"/>
            </w:pPr>
            <w:r>
              <w:t xml:space="preserve">7</w:t>
            </w:r>
          </w:p>
        </w:tc>
        <w:tc>
          <w:tcPr/>
          <w:p>
            <w:pPr>
              <w:pStyle w:val="Compact"/>
              <w:jc w:val="center"/>
            </w:pPr>
            <w:r>
              <w:t xml:space="preserve">Pass</w:t>
            </w:r>
          </w:p>
        </w:tc>
      </w:tr>
      <w:tr>
        <w:tc>
          <w:tcPr/>
          <w:p>
            <w:pPr>
              <w:pStyle w:val="Compact"/>
            </w:pPr>
            <w:r>
              <w:rPr>
                <w:rStyle w:val="VerbatimChar"/>
              </w:rPr>
              <w:t xml:space="preserve">test_auth.py</w:t>
            </w:r>
          </w:p>
        </w:tc>
        <w:tc>
          <w:tcPr/>
          <w:p>
            <w:pPr>
              <w:pStyle w:val="Compact"/>
            </w:pPr>
            <w:r>
              <w:t xml:space="preserve">JWT registration / login</w:t>
            </w:r>
          </w:p>
        </w:tc>
        <w:tc>
          <w:tcPr/>
          <w:p>
            <w:pPr>
              <w:pStyle w:val="Compact"/>
              <w:jc w:val="center"/>
            </w:pPr>
            <w:r>
              <w:t xml:space="preserve">6</w:t>
            </w:r>
          </w:p>
        </w:tc>
        <w:tc>
          <w:tcPr/>
          <w:p>
            <w:pPr>
              <w:pStyle w:val="Compact"/>
              <w:jc w:val="center"/>
            </w:pPr>
            <w:r>
              <w:t xml:space="preserve">Pass</w:t>
            </w:r>
          </w:p>
        </w:tc>
      </w:tr>
      <w:tr>
        <w:tc>
          <w:tcPr/>
          <w:p>
            <w:pPr>
              <w:pStyle w:val="Compact"/>
            </w:pPr>
            <w:r>
              <w:rPr>
                <w:rStyle w:val="VerbatimChar"/>
              </w:rPr>
              <w:t xml:space="preserve">test_poc_validator.py</w:t>
            </w:r>
          </w:p>
        </w:tc>
        <w:tc>
          <w:tcPr/>
          <w:p>
            <w:pPr>
              <w:pStyle w:val="Compact"/>
            </w:pPr>
            <w:r>
              <w:t xml:space="preserve">PoC checks + scope guard</w:t>
            </w:r>
          </w:p>
        </w:tc>
        <w:tc>
          <w:tcPr/>
          <w:p>
            <w:pPr>
              <w:pStyle w:val="Compact"/>
              <w:jc w:val="center"/>
            </w:pPr>
            <w:r>
              <w:t xml:space="preserve">5</w:t>
            </w:r>
          </w:p>
        </w:tc>
        <w:tc>
          <w:tcPr/>
          <w:p>
            <w:pPr>
              <w:pStyle w:val="Compact"/>
              <w:jc w:val="center"/>
            </w:pPr>
            <w:r>
              <w:t xml:space="preserve">Pass</w:t>
            </w:r>
          </w:p>
        </w:tc>
      </w:tr>
      <w:tr>
        <w:tc>
          <w:tcPr/>
          <w:p>
            <w:pPr>
              <w:pStyle w:val="Compact"/>
            </w:pPr>
            <w:r>
              <w:rPr>
                <w:rStyle w:val="VerbatimChar"/>
              </w:rPr>
              <w:t xml:space="preserve">test_auto_scan.py</w:t>
            </w:r>
          </w:p>
        </w:tc>
        <w:tc>
          <w:tcPr/>
          <w:p>
            <w:pPr>
              <w:pStyle w:val="Compact"/>
            </w:pPr>
            <w:r>
              <w:t xml:space="preserve">Auto Scan orchestration</w:t>
            </w:r>
          </w:p>
        </w:tc>
        <w:tc>
          <w:tcPr/>
          <w:p>
            <w:pPr>
              <w:pStyle w:val="Compact"/>
              <w:jc w:val="center"/>
            </w:pPr>
            <w:r>
              <w:t xml:space="preserve">5</w:t>
            </w:r>
          </w:p>
        </w:tc>
        <w:tc>
          <w:tcPr/>
          <w:p>
            <w:pPr>
              <w:pStyle w:val="Compact"/>
              <w:jc w:val="center"/>
            </w:pPr>
            <w:r>
              <w:t xml:space="preserve">Pass</w:t>
            </w:r>
          </w:p>
        </w:tc>
      </w:tr>
      <w:tr>
        <w:tc>
          <w:tcPr/>
          <w:p>
            <w:pPr>
              <w:pStyle w:val="Compact"/>
            </w:pPr>
            <w:r>
              <w:rPr>
                <w:rStyle w:val="VerbatimChar"/>
              </w:rPr>
              <w:t xml:space="preserve">test_exploit_search.py</w:t>
            </w:r>
          </w:p>
        </w:tc>
        <w:tc>
          <w:tcPr/>
          <w:p>
            <w:pPr>
              <w:pStyle w:val="Compact"/>
            </w:pPr>
            <w:r>
              <w:t xml:space="preserve">Exploit-DB lookup</w:t>
            </w:r>
          </w:p>
        </w:tc>
        <w:tc>
          <w:tcPr/>
          <w:p>
            <w:pPr>
              <w:pStyle w:val="Compact"/>
              <w:jc w:val="center"/>
            </w:pPr>
            <w:r>
              <w:t xml:space="preserve">4</w:t>
            </w:r>
          </w:p>
        </w:tc>
        <w:tc>
          <w:tcPr/>
          <w:p>
            <w:pPr>
              <w:pStyle w:val="Compact"/>
              <w:jc w:val="center"/>
            </w:pPr>
            <w:r>
              <w:t xml:space="preserve">Pass</w:t>
            </w:r>
          </w:p>
        </w:tc>
      </w:tr>
      <w:tr>
        <w:tc>
          <w:tcPr/>
          <w:p>
            <w:pPr>
              <w:pStyle w:val="Compact"/>
            </w:pPr>
            <w:r>
              <w:rPr>
                <w:rStyle w:val="VerbatimChar"/>
              </w:rPr>
              <w:t xml:space="preserve">test_cwe_cvss_enrichment.py</w:t>
            </w:r>
          </w:p>
        </w:tc>
        <w:tc>
          <w:tcPr/>
          <w:p>
            <w:pPr>
              <w:pStyle w:val="Compact"/>
            </w:pPr>
            <w:r>
              <w:t xml:space="preserve">CWE→CVSS vector inference</w:t>
            </w:r>
          </w:p>
        </w:tc>
        <w:tc>
          <w:tcPr/>
          <w:p>
            <w:pPr>
              <w:pStyle w:val="Compact"/>
              <w:jc w:val="center"/>
            </w:pPr>
            <w:r>
              <w:t xml:space="preserve">3</w:t>
            </w:r>
          </w:p>
        </w:tc>
        <w:tc>
          <w:tcPr/>
          <w:p>
            <w:pPr>
              <w:pStyle w:val="Compact"/>
              <w:jc w:val="center"/>
            </w:pPr>
            <w:r>
              <w:t xml:space="preserve">Pass</w:t>
            </w:r>
          </w:p>
        </w:tc>
      </w:tr>
      <w:tr>
        <w:tc>
          <w:tcPr/>
          <w:p>
            <w:pPr>
              <w:pStyle w:val="Compact"/>
            </w:pPr>
            <w:r>
              <w:rPr>
                <w:rStyle w:val="VerbatimChar"/>
              </w:rPr>
              <w:t xml:space="preserve">test_report_escaping.py</w:t>
            </w:r>
          </w:p>
        </w:tc>
        <w:tc>
          <w:tcPr/>
          <w:p>
            <w:pPr>
              <w:pStyle w:val="Compact"/>
            </w:pPr>
            <w:r>
              <w:t xml:space="preserve">Report XML-escaping</w:t>
            </w:r>
          </w:p>
        </w:tc>
        <w:tc>
          <w:tcPr/>
          <w:p>
            <w:pPr>
              <w:pStyle w:val="Compact"/>
              <w:jc w:val="center"/>
            </w:pPr>
            <w:r>
              <w:t xml:space="preserve">2</w:t>
            </w:r>
          </w:p>
        </w:tc>
        <w:tc>
          <w:tcPr/>
          <w:p>
            <w:pPr>
              <w:pStyle w:val="Compact"/>
              <w:jc w:val="center"/>
            </w:pPr>
            <w:r>
              <w:t xml:space="preserve">Pass</w:t>
            </w:r>
          </w:p>
        </w:tc>
      </w:tr>
      <w:tr>
        <w:tc>
          <w:tcPr/>
          <w:p>
            <w:pPr>
              <w:pStyle w:val="Compact"/>
            </w:pPr>
            <w:r>
              <w:rPr>
                <w:rStyle w:val="VerbatimChar"/>
              </w:rPr>
              <w:t xml:space="preserve">test_parsers.py</w:t>
            </w:r>
          </w:p>
        </w:tc>
        <w:tc>
          <w:tcPr/>
          <w:p>
            <w:pPr>
              <w:pStyle w:val="Compact"/>
            </w:pPr>
            <w:r>
              <w:t xml:space="preserve">ZAP / Nuclei / Nessus parsers</w:t>
            </w:r>
          </w:p>
        </w:tc>
        <w:tc>
          <w:tcPr/>
          <w:p>
            <w:pPr>
              <w:pStyle w:val="Compact"/>
              <w:jc w:val="center"/>
            </w:pPr>
            <w:r>
              <w:t xml:space="preserve">2</w:t>
            </w:r>
          </w:p>
        </w:tc>
        <w:tc>
          <w:tcPr/>
          <w:p>
            <w:pPr>
              <w:pStyle w:val="Compact"/>
              <w:jc w:val="center"/>
            </w:pPr>
            <w:r>
              <w:t xml:space="preserve">Pass</w:t>
            </w:r>
          </w:p>
        </w:tc>
      </w:tr>
      <w:tr>
        <w:tc>
          <w:tcPr/>
          <w:p>
            <w:pPr>
              <w:pStyle w:val="Compact"/>
            </w:pPr>
            <w:r>
              <w:rPr>
                <w:rStyle w:val="VerbatimChar"/>
              </w:rPr>
              <w:t xml:space="preserve">test_clear_data.py</w:t>
            </w:r>
          </w:p>
        </w:tc>
        <w:tc>
          <w:tcPr/>
          <w:p>
            <w:pPr>
              <w:pStyle w:val="Compact"/>
            </w:pPr>
            <w:r>
              <w:t xml:space="preserve">Session data reset</w:t>
            </w:r>
          </w:p>
        </w:tc>
        <w:tc>
          <w:tcPr/>
          <w:p>
            <w:pPr>
              <w:pStyle w:val="Compact"/>
              <w:jc w:val="center"/>
            </w:pPr>
            <w:r>
              <w:t xml:space="preserve">2</w:t>
            </w:r>
          </w:p>
        </w:tc>
        <w:tc>
          <w:tcPr/>
          <w:p>
            <w:pPr>
              <w:pStyle w:val="Compact"/>
              <w:jc w:val="center"/>
            </w:pPr>
            <w:r>
              <w:t xml:space="preserve">Pass</w:t>
            </w:r>
          </w:p>
        </w:tc>
      </w:tr>
      <w:tr>
        <w:tc>
          <w:tcPr/>
          <w:p>
            <w:pPr>
              <w:pStyle w:val="Compact"/>
            </w:pPr>
            <w:r>
              <w:rPr>
                <w:b/>
                <w:bCs/>
              </w:rPr>
              <w:t xml:space="preserve">Total</w:t>
            </w:r>
          </w:p>
        </w:tc>
        <w:tc>
          <w:tcPr/>
          <w:p>
            <w:pPr>
              <w:pStyle w:val="Compact"/>
            </w:pPr>
          </w:p>
        </w:tc>
        <w:tc>
          <w:tcPr/>
          <w:p>
            <w:pPr>
              <w:pStyle w:val="Compact"/>
              <w:jc w:val="center"/>
            </w:pPr>
            <w:r>
              <w:rPr>
                <w:b/>
                <w:bCs/>
              </w:rPr>
              <w:t xml:space="preserve">97</w:t>
            </w:r>
          </w:p>
        </w:tc>
        <w:tc>
          <w:tcPr/>
          <w:p>
            <w:pPr>
              <w:pStyle w:val="Compact"/>
              <w:jc w:val="center"/>
            </w:pPr>
            <w:r>
              <w:rPr>
                <w:b/>
                <w:bCs/>
              </w:rPr>
              <w:t xml:space="preserve">All Pass</w:t>
            </w:r>
          </w:p>
        </w:tc>
      </w:tr>
    </w:tbl>
    <w:p>
      <w:pPr>
        <w:pStyle w:val="BodyText"/>
      </w:pPr>
      <w:r>
        <w:rPr>
          <w:b/>
          <w:bCs/>
        </w:rPr>
        <w:t xml:space="preserve">Table 5.6: Automated White-Box Test Results by Module</w:t>
      </w:r>
    </w:p>
    <w:p>
      <w:pPr>
        <w:pStyle w:val="BodyText"/>
      </w:pPr>
      <w:r>
        <w:rPr>
          <w:b/>
          <w:bCs/>
        </w:rPr>
        <w:t xml:space="preserve">Machine-learning model evaluation (real).</w:t>
      </w:r>
      <w:r>
        <w:t xml:space="preserve"> </w:t>
      </w:r>
      <w:r>
        <w:t xml:space="preserve">The Random Forest prioritiser was evaluated on</w:t>
      </w:r>
      <w:r>
        <w:t xml:space="preserve"> </w:t>
      </w:r>
      <w:r>
        <w:rPr>
          <w:b/>
          <w:bCs/>
        </w:rPr>
        <w:t xml:space="preserve">21,697 real, held-out NVD records</w:t>
      </w:r>
      <w:r>
        <w:t xml:space="preserve"> </w:t>
      </w:r>
      <w:r>
        <w:t xml:space="preserve">(a stratified split, seed 42, never seen during training on 86,798 rows). It achieved an</w:t>
      </w:r>
      <w:r>
        <w:t xml:space="preserve"> </w:t>
      </w:r>
      <w:r>
        <w:rPr>
          <w:b/>
          <w:bCs/>
        </w:rPr>
        <w:t xml:space="preserve">accuracy of 0.9968</w:t>
      </w:r>
      <w:r>
        <w:t xml:space="preserve"> </w:t>
      </w:r>
      <w:r>
        <w:t xml:space="preserve">and a</w:t>
      </w:r>
      <w:r>
        <w:t xml:space="preserve"> </w:t>
      </w:r>
      <w:r>
        <w:rPr>
          <w:b/>
          <w:bCs/>
        </w:rPr>
        <w:t xml:space="preserve">macro-averaged F1 of 0.9941</w:t>
      </w:r>
      <w:r>
        <w:t xml:space="preserve">. Table 5.7 gives the per-class report and Table 5.8 the confusion matrix. Only 70 of 21,697 predictions were wrong, and — importantly — every error is a single severity band off (e.g. a Critical predicted as High), never a gross misclassification such as Critical-to-Low.</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Class</w:t>
            </w:r>
          </w:p>
        </w:tc>
        <w:tc>
          <w:tcPr/>
          <w:p>
            <w:pPr>
              <w:pStyle w:val="Compact"/>
              <w:jc w:val="center"/>
            </w:pPr>
            <w:r>
              <w:t xml:space="preserve">Precision</w:t>
            </w:r>
          </w:p>
        </w:tc>
        <w:tc>
          <w:tcPr/>
          <w:p>
            <w:pPr>
              <w:pStyle w:val="Compact"/>
              <w:jc w:val="center"/>
            </w:pPr>
            <w:r>
              <w:t xml:space="preserve">Recall</w:t>
            </w:r>
          </w:p>
        </w:tc>
        <w:tc>
          <w:tcPr/>
          <w:p>
            <w:pPr>
              <w:pStyle w:val="Compact"/>
              <w:jc w:val="center"/>
            </w:pPr>
            <w:r>
              <w:t xml:space="preserve">F1-score</w:t>
            </w:r>
          </w:p>
        </w:tc>
        <w:tc>
          <w:tcPr/>
          <w:p>
            <w:pPr>
              <w:pStyle w:val="Compact"/>
              <w:jc w:val="center"/>
            </w:pPr>
            <w:r>
              <w:t xml:space="preserve">Support</w:t>
            </w:r>
          </w:p>
        </w:tc>
      </w:tr>
      <w:tr>
        <w:tc>
          <w:tcPr/>
          <w:p>
            <w:pPr>
              <w:pStyle w:val="Compact"/>
            </w:pPr>
            <w:r>
              <w:t xml:space="preserve">Low</w:t>
            </w:r>
          </w:p>
        </w:tc>
        <w:tc>
          <w:tcPr/>
          <w:p>
            <w:pPr>
              <w:pStyle w:val="Compact"/>
              <w:jc w:val="center"/>
            </w:pPr>
            <w:r>
              <w:t xml:space="preserve">0.9938</w:t>
            </w:r>
          </w:p>
        </w:tc>
        <w:tc>
          <w:tcPr/>
          <w:p>
            <w:pPr>
              <w:pStyle w:val="Compact"/>
              <w:jc w:val="center"/>
            </w:pPr>
            <w:r>
              <w:t xml:space="preserve">0.9795</w:t>
            </w:r>
          </w:p>
        </w:tc>
        <w:tc>
          <w:tcPr/>
          <w:p>
            <w:pPr>
              <w:pStyle w:val="Compact"/>
              <w:jc w:val="center"/>
            </w:pPr>
            <w:r>
              <w:t xml:space="preserve">0.9866</w:t>
            </w:r>
          </w:p>
        </w:tc>
        <w:tc>
          <w:tcPr/>
          <w:p>
            <w:pPr>
              <w:pStyle w:val="Compact"/>
              <w:jc w:val="center"/>
            </w:pPr>
            <w:r>
              <w:t xml:space="preserve">976</w:t>
            </w:r>
          </w:p>
        </w:tc>
      </w:tr>
      <w:tr>
        <w:tc>
          <w:tcPr/>
          <w:p>
            <w:pPr>
              <w:pStyle w:val="Compact"/>
            </w:pPr>
            <w:r>
              <w:t xml:space="preserve">Medium</w:t>
            </w:r>
          </w:p>
        </w:tc>
        <w:tc>
          <w:tcPr/>
          <w:p>
            <w:pPr>
              <w:pStyle w:val="Compact"/>
              <w:jc w:val="center"/>
            </w:pPr>
            <w:r>
              <w:t xml:space="preserve">0.9968</w:t>
            </w:r>
          </w:p>
        </w:tc>
        <w:tc>
          <w:tcPr/>
          <w:p>
            <w:pPr>
              <w:pStyle w:val="Compact"/>
              <w:jc w:val="center"/>
            </w:pPr>
            <w:r>
              <w:t xml:space="preserve">0.9988</w:t>
            </w:r>
          </w:p>
        </w:tc>
        <w:tc>
          <w:tcPr/>
          <w:p>
            <w:pPr>
              <w:pStyle w:val="Compact"/>
              <w:jc w:val="center"/>
            </w:pPr>
            <w:r>
              <w:t xml:space="preserve">0.9978</w:t>
            </w:r>
          </w:p>
        </w:tc>
        <w:tc>
          <w:tcPr/>
          <w:p>
            <w:pPr>
              <w:pStyle w:val="Compact"/>
              <w:jc w:val="center"/>
            </w:pPr>
            <w:r>
              <w:t xml:space="preserve">10,952</w:t>
            </w:r>
          </w:p>
        </w:tc>
      </w:tr>
      <w:tr>
        <w:tc>
          <w:tcPr/>
          <w:p>
            <w:pPr>
              <w:pStyle w:val="Compact"/>
            </w:pPr>
            <w:r>
              <w:t xml:space="preserve">High</w:t>
            </w:r>
          </w:p>
        </w:tc>
        <w:tc>
          <w:tcPr/>
          <w:p>
            <w:pPr>
              <w:pStyle w:val="Compact"/>
              <w:jc w:val="center"/>
            </w:pPr>
            <w:r>
              <w:t xml:space="preserve">0.9962</w:t>
            </w:r>
          </w:p>
        </w:tc>
        <w:tc>
          <w:tcPr/>
          <w:p>
            <w:pPr>
              <w:pStyle w:val="Compact"/>
              <w:jc w:val="center"/>
            </w:pPr>
            <w:r>
              <w:t xml:space="preserve">0.9980</w:t>
            </w:r>
          </w:p>
        </w:tc>
        <w:tc>
          <w:tcPr/>
          <w:p>
            <w:pPr>
              <w:pStyle w:val="Compact"/>
              <w:jc w:val="center"/>
            </w:pPr>
            <w:r>
              <w:t xml:space="preserve">0.9971</w:t>
            </w:r>
          </w:p>
        </w:tc>
        <w:tc>
          <w:tcPr/>
          <w:p>
            <w:pPr>
              <w:pStyle w:val="Compact"/>
              <w:jc w:val="center"/>
            </w:pPr>
            <w:r>
              <w:t xml:space="preserve">7,629</w:t>
            </w:r>
          </w:p>
        </w:tc>
      </w:tr>
      <w:tr>
        <w:tc>
          <w:tcPr/>
          <w:p>
            <w:pPr>
              <w:pStyle w:val="Compact"/>
            </w:pPr>
            <w:r>
              <w:t xml:space="preserve">Critical</w:t>
            </w:r>
          </w:p>
        </w:tc>
        <w:tc>
          <w:tcPr/>
          <w:p>
            <w:pPr>
              <w:pStyle w:val="Compact"/>
              <w:jc w:val="center"/>
            </w:pPr>
            <w:r>
              <w:t xml:space="preserve">1.0000</w:t>
            </w:r>
          </w:p>
        </w:tc>
        <w:tc>
          <w:tcPr/>
          <w:p>
            <w:pPr>
              <w:pStyle w:val="Compact"/>
              <w:jc w:val="center"/>
            </w:pPr>
            <w:r>
              <w:t xml:space="preserve">0.9897</w:t>
            </w:r>
          </w:p>
        </w:tc>
        <w:tc>
          <w:tcPr/>
          <w:p>
            <w:pPr>
              <w:pStyle w:val="Compact"/>
              <w:jc w:val="center"/>
            </w:pPr>
            <w:r>
              <w:t xml:space="preserve">0.9948</w:t>
            </w:r>
          </w:p>
        </w:tc>
        <w:tc>
          <w:tcPr/>
          <w:p>
            <w:pPr>
              <w:pStyle w:val="Compact"/>
              <w:jc w:val="center"/>
            </w:pPr>
            <w:r>
              <w:t xml:space="preserve">2,140</w:t>
            </w:r>
          </w:p>
        </w:tc>
      </w:tr>
    </w:tbl>
    <w:p>
      <w:pPr>
        <w:pStyle w:val="BodyText"/>
      </w:pPr>
      <w:r>
        <w:rPr>
          <w:b/>
          <w:bCs/>
        </w:rPr>
        <w:t xml:space="preserve">Table 5.7: Random Forest Per-Class Evaluation (held-out NVD data)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Actual ↓ / Predicted →</w:t>
            </w:r>
          </w:p>
        </w:tc>
        <w:tc>
          <w:tcPr/>
          <w:p>
            <w:pPr>
              <w:pStyle w:val="Compact"/>
              <w:jc w:val="center"/>
            </w:pPr>
            <w:r>
              <w:t xml:space="preserve">Low</w:t>
            </w:r>
          </w:p>
        </w:tc>
        <w:tc>
          <w:tcPr/>
          <w:p>
            <w:pPr>
              <w:pStyle w:val="Compact"/>
              <w:jc w:val="center"/>
            </w:pPr>
            <w:r>
              <w:t xml:space="preserve">Medium</w:t>
            </w:r>
          </w:p>
        </w:tc>
        <w:tc>
          <w:tcPr/>
          <w:p>
            <w:pPr>
              <w:pStyle w:val="Compact"/>
              <w:jc w:val="center"/>
            </w:pPr>
            <w:r>
              <w:t xml:space="preserve">High</w:t>
            </w:r>
          </w:p>
        </w:tc>
        <w:tc>
          <w:tcPr/>
          <w:p>
            <w:pPr>
              <w:pStyle w:val="Compact"/>
              <w:jc w:val="center"/>
            </w:pPr>
            <w:r>
              <w:t xml:space="preserve">Critical</w:t>
            </w:r>
          </w:p>
        </w:tc>
      </w:tr>
      <w:tr>
        <w:tc>
          <w:tcPr/>
          <w:p>
            <w:pPr>
              <w:pStyle w:val="Compact"/>
            </w:pPr>
            <w:r>
              <w:rPr>
                <w:b/>
                <w:bCs/>
              </w:rPr>
              <w:t xml:space="preserve">Low</w:t>
            </w:r>
          </w:p>
        </w:tc>
        <w:tc>
          <w:tcPr/>
          <w:p>
            <w:pPr>
              <w:pStyle w:val="Compact"/>
              <w:jc w:val="center"/>
            </w:pPr>
            <w:r>
              <w:t xml:space="preserve">956</w:t>
            </w:r>
          </w:p>
        </w:tc>
        <w:tc>
          <w:tcPr/>
          <w:p>
            <w:pPr>
              <w:pStyle w:val="Compact"/>
              <w:jc w:val="center"/>
            </w:pPr>
            <w:r>
              <w:t xml:space="preserve">20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Medium</w:t>
            </w:r>
          </w:p>
        </w:tc>
        <w:tc>
          <w:tcPr/>
          <w:p>
            <w:pPr>
              <w:pStyle w:val="Compact"/>
              <w:jc w:val="center"/>
            </w:pPr>
            <w:r>
              <w:t xml:space="preserve">6</w:t>
            </w:r>
          </w:p>
        </w:tc>
        <w:tc>
          <w:tcPr/>
          <w:p>
            <w:pPr>
              <w:pStyle w:val="Compact"/>
              <w:jc w:val="center"/>
            </w:pPr>
            <w:r>
              <w:t xml:space="preserve">10,939</w:t>
            </w:r>
          </w:p>
        </w:tc>
        <w:tc>
          <w:tcPr/>
          <w:p>
            <w:pPr>
              <w:pStyle w:val="Compact"/>
              <w:jc w:val="center"/>
            </w:pPr>
            <w:r>
              <w:t xml:space="preserve">7</w:t>
            </w:r>
          </w:p>
        </w:tc>
        <w:tc>
          <w:tcPr/>
          <w:p>
            <w:pPr>
              <w:pStyle w:val="Compact"/>
              <w:jc w:val="center"/>
            </w:pPr>
            <w:r>
              <w:t xml:space="preserve">0</w:t>
            </w:r>
          </w:p>
        </w:tc>
      </w:tr>
      <w:tr>
        <w:tc>
          <w:tcPr/>
          <w:p>
            <w:pPr>
              <w:pStyle w:val="Compact"/>
            </w:pPr>
            <w:r>
              <w:rPr>
                <w:b/>
                <w:bCs/>
              </w:rPr>
              <w:t xml:space="preserve">High</w:t>
            </w:r>
          </w:p>
        </w:tc>
        <w:tc>
          <w:tcPr/>
          <w:p>
            <w:pPr>
              <w:pStyle w:val="Compact"/>
              <w:jc w:val="center"/>
            </w:pPr>
            <w:r>
              <w:t xml:space="preserve">0</w:t>
            </w:r>
          </w:p>
        </w:tc>
        <w:tc>
          <w:tcPr/>
          <w:p>
            <w:pPr>
              <w:pStyle w:val="Compact"/>
              <w:jc w:val="center"/>
            </w:pPr>
            <w:r>
              <w:t xml:space="preserve">15</w:t>
            </w:r>
          </w:p>
        </w:tc>
        <w:tc>
          <w:tcPr/>
          <w:p>
            <w:pPr>
              <w:pStyle w:val="Compact"/>
              <w:jc w:val="center"/>
            </w:pPr>
            <w:r>
              <w:t xml:space="preserve">7,614</w:t>
            </w:r>
          </w:p>
        </w:tc>
        <w:tc>
          <w:tcPr/>
          <w:p>
            <w:pPr>
              <w:pStyle w:val="Compact"/>
              <w:jc w:val="center"/>
            </w:pPr>
            <w:r>
              <w:t xml:space="preserve">0</w:t>
            </w:r>
          </w:p>
        </w:tc>
      </w:tr>
      <w:tr>
        <w:tc>
          <w:tcPr/>
          <w:p>
            <w:pPr>
              <w:pStyle w:val="Compact"/>
            </w:pPr>
            <w:r>
              <w:rPr>
                <w:b/>
                <w:bCs/>
              </w:rPr>
              <w:t xml:space="preserve">Critical</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22</w:t>
            </w:r>
          </w:p>
        </w:tc>
        <w:tc>
          <w:tcPr/>
          <w:p>
            <w:pPr>
              <w:pStyle w:val="Compact"/>
              <w:jc w:val="center"/>
            </w:pPr>
            <w:r>
              <w:t xml:space="preserve">2,118</w:t>
            </w:r>
          </w:p>
        </w:tc>
      </w:tr>
    </w:tbl>
    <w:p>
      <w:pPr>
        <w:pStyle w:val="BodyText"/>
      </w:pPr>
      <w:r>
        <w:rPr>
          <w:b/>
          <w:bCs/>
        </w:rPr>
        <w:t xml:space="preserve">Table 5.8: Random Forest Confusion Matrix (21,697 held-out records)</w:t>
      </w:r>
    </w:p>
    <w:p>
      <w:pPr>
        <w:pStyle w:val="BodyText"/>
      </w:pPr>
      <w:r>
        <w:rPr>
          <w:b/>
          <w:bCs/>
        </w:rPr>
        <w:t xml:space="preserve">Confidence Engine evaluation (real).</w:t>
      </w:r>
      <w:r>
        <w:t xml:space="preserve"> </w:t>
      </w:r>
      <w:r>
        <w:t xml:space="preserve">The Confidence Engine — the project's novel contribution — was evaluated on a curated benchmark of 32 labelled scenarios (16 true positives, 16 false positives) using the</w:t>
      </w:r>
      <w:r>
        <w:t xml:space="preserve"> </w:t>
      </w:r>
      <w:r>
        <w:rPr>
          <w:rStyle w:val="VerbatimChar"/>
        </w:rPr>
        <w:t xml:space="preserve">evaluate_confidence</w:t>
      </w:r>
      <w:r>
        <w:t xml:space="preserve"> </w:t>
      </w:r>
      <w:r>
        <w:t xml:space="preserve">harness. It achieved a</w:t>
      </w:r>
      <w:r>
        <w:t xml:space="preserve"> </w:t>
      </w:r>
      <w:r>
        <w:rPr>
          <w:b/>
          <w:bCs/>
        </w:rPr>
        <w:t xml:space="preserve">ROC-AUC of ≈ 0.82</w:t>
      </w:r>
      <w:r>
        <w:t xml:space="preserve">, a</w:t>
      </w:r>
      <w:r>
        <w:t xml:space="preserve"> </w:t>
      </w:r>
      <w:r>
        <w:rPr>
          <w:b/>
          <w:bCs/>
        </w:rPr>
        <w:t xml:space="preserve">precision of 1.0 for the "Confirmed" classification</w:t>
      </w:r>
      <w:r>
        <w:t xml:space="preserve"> </w:t>
      </w:r>
      <w:r>
        <w:t xml:space="preserve">(it never wrongly confirmed a false positive), and it</w:t>
      </w:r>
      <w:r>
        <w:t xml:space="preserve"> </w:t>
      </w:r>
      <w:r>
        <w:rPr>
          <w:b/>
          <w:bCs/>
        </w:rPr>
        <w:t xml:space="preserve">auto-dismissed ≈ 81% of the false positives while retaining 75% of the true positives</w:t>
      </w:r>
      <w:r>
        <w:t xml:space="preserve"> </w:t>
      </w:r>
      <w:r>
        <w:t xml:space="preserve">for review. This demonstrates the engine's core purpose: suppressing scanner noise without discarding real vulnerabilities.</w:t>
      </w:r>
    </w:p>
    <w:p>
      <w:pPr>
        <w:pStyle w:val="BodyText"/>
      </w:pPr>
      <w:r>
        <w:rPr>
          <w:b/>
          <w:bCs/>
        </w:rPr>
        <w:t xml:space="preserve">Live functional / system verification (real).</w:t>
      </w:r>
      <w:r>
        <w:t xml:space="preserve"> </w:t>
      </w:r>
      <w:r>
        <w:t xml:space="preserve">Beyond the unit level, the entire pipeline was verified end-to-end against a live, deliberately-vulnerable target (a local OWASP Juice Shop). Table 5.9 records the principal functional/system test cases and their outcomes.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Functional test</w:t>
            </w:r>
          </w:p>
        </w:tc>
        <w:tc>
          <w:tcPr/>
          <w:p>
            <w:pPr>
              <w:pStyle w:val="Compact"/>
            </w:pPr>
            <w:r>
              <w:t xml:space="preserve">Expected</w:t>
            </w:r>
          </w:p>
        </w:tc>
        <w:tc>
          <w:tcPr/>
          <w:p>
            <w:pPr>
              <w:pStyle w:val="Compact"/>
            </w:pPr>
            <w:r>
              <w:t xml:space="preserve">Actual result</w:t>
            </w:r>
          </w:p>
        </w:tc>
        <w:tc>
          <w:tcPr/>
          <w:p>
            <w:pPr>
              <w:pStyle w:val="Compact"/>
              <w:jc w:val="center"/>
            </w:pPr>
            <w:r>
              <w:t xml:space="preserve">Status</w:t>
            </w:r>
          </w:p>
        </w:tc>
      </w:tr>
      <w:tr>
        <w:tc>
          <w:tcPr/>
          <w:p>
            <w:pPr>
              <w:pStyle w:val="Compact"/>
            </w:pPr>
            <w:r>
              <w:t xml:space="preserve">FT-1</w:t>
            </w:r>
          </w:p>
        </w:tc>
        <w:tc>
          <w:tcPr/>
          <w:p>
            <w:pPr>
              <w:pStyle w:val="Compact"/>
            </w:pPr>
            <w:r>
              <w:t xml:space="preserve">Full Auto Scan (ZAP then Nuclei) against Juice Shop</w:t>
            </w:r>
          </w:p>
        </w:tc>
        <w:tc>
          <w:tcPr/>
          <w:p>
            <w:pPr>
              <w:pStyle w:val="Compact"/>
            </w:pPr>
            <w:r>
              <w:t xml:space="preserve">Sequential scan, no crash, findings triaged</w:t>
            </w:r>
          </w:p>
        </w:tc>
        <w:tc>
          <w:tcPr/>
          <w:p>
            <w:pPr>
              <w:pStyle w:val="Compact"/>
            </w:pPr>
            <w:r>
              <w:t xml:space="preserve">16 findings ingested; no VM crash; guardrails held</w:t>
            </w:r>
          </w:p>
        </w:tc>
        <w:tc>
          <w:tcPr/>
          <w:p>
            <w:pPr>
              <w:pStyle w:val="Compact"/>
              <w:jc w:val="center"/>
            </w:pPr>
            <w:r>
              <w:t xml:space="preserve">Pass</w:t>
            </w:r>
          </w:p>
        </w:tc>
      </w:tr>
      <w:tr>
        <w:tc>
          <w:tcPr/>
          <w:p>
            <w:pPr>
              <w:pStyle w:val="Compact"/>
            </w:pPr>
            <w:r>
              <w:t xml:space="preserve">FT-2</w:t>
            </w:r>
          </w:p>
        </w:tc>
        <w:tc>
          <w:tcPr/>
          <w:p>
            <w:pPr>
              <w:pStyle w:val="Compact"/>
            </w:pPr>
            <w:r>
              <w:t xml:space="preserve">PoC confirmation of the real SQL injection</w:t>
            </w:r>
          </w:p>
        </w:tc>
        <w:tc>
          <w:tcPr/>
          <w:p>
            <w:pPr>
              <w:pStyle w:val="Compact"/>
            </w:pPr>
            <w:r>
              <w:t xml:space="preserve">SQLi flips to Confirmed via PoC override</w:t>
            </w:r>
          </w:p>
        </w:tc>
        <w:tc>
          <w:tcPr/>
          <w:p>
            <w:pPr>
              <w:pStyle w:val="Compact"/>
            </w:pPr>
            <w:r>
              <w:t xml:space="preserve">0→4 Confirmed incl. SQLi at confidence 81.3</w:t>
            </w:r>
          </w:p>
        </w:tc>
        <w:tc>
          <w:tcPr/>
          <w:p>
            <w:pPr>
              <w:pStyle w:val="Compact"/>
              <w:jc w:val="center"/>
            </w:pPr>
            <w:r>
              <w:t xml:space="preserve">Pass</w:t>
            </w:r>
          </w:p>
        </w:tc>
      </w:tr>
      <w:tr>
        <w:tc>
          <w:tcPr/>
          <w:p>
            <w:pPr>
              <w:pStyle w:val="Compact"/>
            </w:pPr>
            <w:r>
              <w:t xml:space="preserve">FT-3</w:t>
            </w:r>
          </w:p>
        </w:tc>
        <w:tc>
          <w:tcPr/>
          <w:p>
            <w:pPr>
              <w:pStyle w:val="Compact"/>
            </w:pPr>
            <w:r>
              <w:t xml:space="preserve">CWE mapper coverage on common web alerts</w:t>
            </w:r>
          </w:p>
        </w:tc>
        <w:tc>
          <w:tcPr/>
          <w:p>
            <w:pPr>
              <w:pStyle w:val="Compact"/>
            </w:pPr>
            <w:r>
              <w:t xml:space="preserve">Mappable alerts get correct CWEs</w:t>
            </w:r>
          </w:p>
        </w:tc>
        <w:tc>
          <w:tcPr/>
          <w:p>
            <w:pPr>
              <w:pStyle w:val="Compact"/>
            </w:pPr>
            <w:r>
              <w:t xml:space="preserve">30/30 mapped (up from 4/30); RCE/cookie regressions fixed</w:t>
            </w:r>
          </w:p>
        </w:tc>
        <w:tc>
          <w:tcPr/>
          <w:p>
            <w:pPr>
              <w:pStyle w:val="Compact"/>
              <w:jc w:val="center"/>
            </w:pPr>
            <w:r>
              <w:t xml:space="preserve">Pass</w:t>
            </w:r>
          </w:p>
        </w:tc>
      </w:tr>
      <w:tr>
        <w:tc>
          <w:tcPr/>
          <w:p>
            <w:pPr>
              <w:pStyle w:val="Compact"/>
            </w:pPr>
            <w:r>
              <w:t xml:space="preserve">FT-4</w:t>
            </w:r>
          </w:p>
        </w:tc>
        <w:tc>
          <w:tcPr/>
          <w:p>
            <w:pPr>
              <w:pStyle w:val="Compact"/>
            </w:pPr>
            <w:r>
              <w:t xml:space="preserve">Offline NVD enrichment of a CVE-bearing finding</w:t>
            </w:r>
          </w:p>
        </w:tc>
        <w:tc>
          <w:tcPr/>
          <w:p>
            <w:pPr>
              <w:pStyle w:val="Compact"/>
            </w:pPr>
            <w:r>
              <w:t xml:space="preserve">CWE + CVSS filled from local feeds</w:t>
            </w:r>
          </w:p>
        </w:tc>
        <w:tc>
          <w:tcPr/>
          <w:p>
            <w:pPr>
              <w:pStyle w:val="Compact"/>
            </w:pPr>
            <w:r>
              <w:t xml:space="preserve">CWE-1188 + full CVSS vector filled offline</w:t>
            </w:r>
          </w:p>
        </w:tc>
        <w:tc>
          <w:tcPr/>
          <w:p>
            <w:pPr>
              <w:pStyle w:val="Compact"/>
              <w:jc w:val="center"/>
            </w:pPr>
            <w:r>
              <w:t xml:space="preserve">Pass</w:t>
            </w:r>
          </w:p>
        </w:tc>
      </w:tr>
      <w:tr>
        <w:tc>
          <w:tcPr/>
          <w:p>
            <w:pPr>
              <w:pStyle w:val="Compact"/>
            </w:pPr>
            <w:r>
              <w:t xml:space="preserve">FT-5</w:t>
            </w:r>
          </w:p>
        </w:tc>
        <w:tc>
          <w:tcPr/>
          <w:p>
            <w:pPr>
              <w:pStyle w:val="Compact"/>
            </w:pPr>
            <w:r>
              <w:t xml:space="preserve">PDF report generation (with AI-Assisted Analysis)</w:t>
            </w:r>
          </w:p>
        </w:tc>
        <w:tc>
          <w:tcPr/>
          <w:p>
            <w:pPr>
              <w:pStyle w:val="Compact"/>
            </w:pPr>
            <w:r>
              <w:t xml:space="preserve">Multi-page report incl. AI section</w:t>
            </w:r>
          </w:p>
        </w:tc>
        <w:tc>
          <w:tcPr/>
          <w:p>
            <w:pPr>
              <w:pStyle w:val="Compact"/>
            </w:pPr>
            <w:r>
              <w:t xml:space="preserve">9-page report; AI analysis via live Gemini</w:t>
            </w:r>
          </w:p>
        </w:tc>
        <w:tc>
          <w:tcPr/>
          <w:p>
            <w:pPr>
              <w:pStyle w:val="Compact"/>
              <w:jc w:val="center"/>
            </w:pPr>
            <w:r>
              <w:t xml:space="preserve">Pass</w:t>
            </w:r>
          </w:p>
        </w:tc>
      </w:tr>
      <w:tr>
        <w:tc>
          <w:tcPr/>
          <w:p>
            <w:pPr>
              <w:pStyle w:val="Compact"/>
            </w:pPr>
            <w:r>
              <w:t xml:space="preserve">FT-6</w:t>
            </w:r>
          </w:p>
        </w:tc>
        <w:tc>
          <w:tcPr/>
          <w:p>
            <w:pPr>
              <w:pStyle w:val="Compact"/>
            </w:pPr>
            <w:r>
              <w:t xml:space="preserve">Report layout (long URLs / labels; cover boxes)</w:t>
            </w:r>
          </w:p>
        </w:tc>
        <w:tc>
          <w:tcPr/>
          <w:p>
            <w:pPr>
              <w:pStyle w:val="Compact"/>
            </w:pPr>
            <w:r>
              <w:t xml:space="preserve">Text wraps; severity boxes contain numbers</w:t>
            </w:r>
          </w:p>
        </w:tc>
        <w:tc>
          <w:tcPr/>
          <w:p>
            <w:pPr>
              <w:pStyle w:val="Compact"/>
            </w:pPr>
            <w:r>
              <w:t xml:space="preserve">Cells wrap correctly; boxes fixed</w:t>
            </w:r>
          </w:p>
        </w:tc>
        <w:tc>
          <w:tcPr/>
          <w:p>
            <w:pPr>
              <w:pStyle w:val="Compact"/>
              <w:jc w:val="center"/>
            </w:pPr>
            <w:r>
              <w:t xml:space="preserve">Pass</w:t>
            </w:r>
          </w:p>
        </w:tc>
      </w:tr>
    </w:tbl>
    <w:p>
      <w:pPr>
        <w:pStyle w:val="BodyText"/>
      </w:pPr>
      <w:r>
        <w:rPr>
          <w:b/>
          <w:bCs/>
        </w:rPr>
        <w:t xml:space="preserve">Table 5.9: Live Functional / System Verification Results</w:t>
      </w:r>
    </w:p>
    <w:p>
      <w:pPr>
        <w:pStyle w:val="BodyText"/>
      </w:pPr>
      <w:r>
        <w:rPr>
          <w:b/>
          <w:bCs/>
        </w:rPr>
        <w:t xml:space="preserve">Discussion.</w:t>
      </w:r>
      <w:r>
        <w:t xml:space="preserve"> </w:t>
      </w:r>
      <w:r>
        <w:t xml:space="preserve">The white-box results establish the system's correctness with reproducible evidence. Every engine is covered by passing tests, the ML model generalises with 99.68% accuracy on unseen real data (with only benign off-by-one-band errors), and the Confidence Engine achieves perfect precision on its "Confirmed" verdict — meaning an analyst can trust that a "Confirmed" label is never a false alarm on the benchmark. The live verification confirms that these component-level guarantees hold when the engines are integrated and driven against a real target: the full scan-to-report workflow completed, the SQL injection was actively confirmed, and the report was produced. An honest limitation is that the confidence benchmark is a</w:t>
      </w:r>
      <w:r>
        <w:t xml:space="preserve"> </w:t>
      </w:r>
      <w:r>
        <w:rPr>
          <w:i/>
          <w:iCs/>
        </w:rPr>
        <w:t xml:space="preserve">curated synthetic</w:t>
      </w:r>
      <w:r>
        <w:t xml:space="preserve"> </w:t>
      </w:r>
      <w:r>
        <w:t xml:space="preserve">set rather than field-validated data, and the ML task (predicting a severity band from CVSS sub-metrics) is close to deterministic; both points are stated plainly so the strong numbers are not over-claimed. The genuinely novel value therefore lies in the confidence-scoring and false-positive-suppression behaviour, which the results support.</w:t>
      </w:r>
    </w:p>
    <w:bookmarkEnd w:id="17"/>
    <w:bookmarkStart w:id="18" w:name="X3ce70881e0394ca8e7a3e0ba3011d123dcd7320"/>
    <w:p>
      <w:pPr>
        <w:pStyle w:val="Heading3"/>
      </w:pPr>
      <w:r>
        <w:t xml:space="preserve">5.3.2 User Acceptance Testing (SUS) — Execution and Results</w:t>
      </w:r>
    </w:p>
    <w:p>
      <w:pPr>
        <w:pStyle w:val="BlockText"/>
      </w:pPr>
      <w:r>
        <w:rPr>
          <w:b/>
          <w:bCs/>
        </w:rPr>
        <w:t xml:space="preserve">Note.</w:t>
      </w:r>
      <w:r>
        <w:t xml:space="preserve"> </w:t>
      </w:r>
      <w:r>
        <w:t xml:space="preserve">This section provides the complete execution templates and the exact scoring method. The tables are to be filled with the responses of the</w:t>
      </w:r>
      <w:r>
        <w:t xml:space="preserve"> </w:t>
      </w:r>
      <w:r>
        <w:rPr>
          <w:b/>
          <w:bCs/>
        </w:rPr>
        <w:t xml:space="preserve">≥ 3 real testers</w:t>
      </w:r>
      <w:r>
        <w:t xml:space="preserve"> </w:t>
      </w:r>
      <w:r>
        <w:t xml:space="preserve">recruited per §5.2.3. Placeholders are shown as blanks. A worked example is included so the calculation can be reproduced once the data is collected.</w:t>
      </w:r>
    </w:p>
    <w:p>
      <w:pPr>
        <w:pStyle w:val="FirstParagraph"/>
      </w:pPr>
      <w:r>
        <w:rPr>
          <w:b/>
          <w:bCs/>
        </w:rPr>
        <w:t xml:space="preserve">Task-performance results (template).</w:t>
      </w:r>
      <w:r>
        <w:t xml:space="preserve"> </w:t>
      </w:r>
      <w:r>
        <w:t xml:space="preserve">For each participant, record task outcomes in Table 5.5.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Task</w:t>
            </w:r>
          </w:p>
        </w:tc>
        <w:tc>
          <w:tcPr/>
          <w:p>
            <w:pPr>
              <w:pStyle w:val="Compact"/>
            </w:pPr>
            <w:r>
              <w:t xml:space="preserve">P1 completion / time / errors</w:t>
            </w:r>
          </w:p>
        </w:tc>
        <w:tc>
          <w:tcPr/>
          <w:p>
            <w:pPr>
              <w:pStyle w:val="Compact"/>
            </w:pPr>
            <w:r>
              <w:t xml:space="preserve">P2 completion / time / errors</w:t>
            </w:r>
          </w:p>
        </w:tc>
        <w:tc>
          <w:tcPr/>
          <w:p>
            <w:pPr>
              <w:pStyle w:val="Compact"/>
            </w:pPr>
            <w:r>
              <w:t xml:space="preserve">P3 completion / time / errors</w:t>
            </w:r>
          </w:p>
        </w:tc>
      </w:tr>
      <w:tr>
        <w:tc>
          <w:tcPr/>
          <w:p>
            <w:pPr>
              <w:pStyle w:val="Compact"/>
            </w:pPr>
            <w:r>
              <w:t xml:space="preserve">T1</w:t>
            </w:r>
          </w:p>
        </w:tc>
        <w:tc>
          <w:tcPr/>
          <w:p>
            <w:pPr>
              <w:pStyle w:val="Compact"/>
            </w:pPr>
            <w:r>
              <w:t xml:space="preserve">__ / __s / __</w:t>
            </w:r>
          </w:p>
        </w:tc>
        <w:tc>
          <w:tcPr/>
          <w:p>
            <w:pPr>
              <w:pStyle w:val="Compact"/>
            </w:pPr>
            <w:r>
              <w:t xml:space="preserve">__ / __s / __</w:t>
            </w:r>
          </w:p>
        </w:tc>
        <w:tc>
          <w:tcPr/>
          <w:p>
            <w:pPr>
              <w:pStyle w:val="Compact"/>
            </w:pPr>
            <w:r>
              <w:t xml:space="preserve">__ / __s / __</w:t>
            </w:r>
          </w:p>
        </w:tc>
      </w:tr>
      <w:tr>
        <w:tc>
          <w:tcPr/>
          <w:p>
            <w:pPr>
              <w:pStyle w:val="Compact"/>
            </w:pPr>
            <w:r>
              <w:t xml:space="preserve">T2</w:t>
            </w:r>
          </w:p>
        </w:tc>
        <w:tc>
          <w:tcPr/>
          <w:p>
            <w:pPr>
              <w:pStyle w:val="Compact"/>
            </w:pPr>
            <w:r>
              <w:t xml:space="preserve">__ / __s / __</w:t>
            </w:r>
          </w:p>
        </w:tc>
        <w:tc>
          <w:tcPr/>
          <w:p>
            <w:pPr>
              <w:pStyle w:val="Compact"/>
            </w:pPr>
            <w:r>
              <w:t xml:space="preserve">__ / __s / __</w:t>
            </w:r>
          </w:p>
        </w:tc>
        <w:tc>
          <w:tcPr/>
          <w:p>
            <w:pPr>
              <w:pStyle w:val="Compact"/>
            </w:pPr>
            <w:r>
              <w:t xml:space="preserve">__ / __s / __</w:t>
            </w:r>
          </w:p>
        </w:tc>
      </w:tr>
      <w:tr>
        <w:tc>
          <w:tcPr/>
          <w:p>
            <w:pPr>
              <w:pStyle w:val="Compact"/>
            </w:pPr>
            <w:r>
              <w:t xml:space="preserve">T3</w:t>
            </w:r>
          </w:p>
        </w:tc>
        <w:tc>
          <w:tcPr/>
          <w:p>
            <w:pPr>
              <w:pStyle w:val="Compact"/>
            </w:pPr>
            <w:r>
              <w:t xml:space="preserve">__ / __s / __</w:t>
            </w:r>
          </w:p>
        </w:tc>
        <w:tc>
          <w:tcPr/>
          <w:p>
            <w:pPr>
              <w:pStyle w:val="Compact"/>
            </w:pPr>
            <w:r>
              <w:t xml:space="preserve">__ / __s / __</w:t>
            </w:r>
          </w:p>
        </w:tc>
        <w:tc>
          <w:tcPr/>
          <w:p>
            <w:pPr>
              <w:pStyle w:val="Compact"/>
            </w:pPr>
            <w:r>
              <w:t xml:space="preserve">__ / __s / __</w:t>
            </w:r>
          </w:p>
        </w:tc>
      </w:tr>
      <w:tr>
        <w:tc>
          <w:tcPr/>
          <w:p>
            <w:pPr>
              <w:pStyle w:val="Compact"/>
            </w:pPr>
            <w:r>
              <w:t xml:space="preserve">T4</w:t>
            </w:r>
          </w:p>
        </w:tc>
        <w:tc>
          <w:tcPr/>
          <w:p>
            <w:pPr>
              <w:pStyle w:val="Compact"/>
            </w:pPr>
            <w:r>
              <w:t xml:space="preserve">__ / __s / __</w:t>
            </w:r>
          </w:p>
        </w:tc>
        <w:tc>
          <w:tcPr/>
          <w:p>
            <w:pPr>
              <w:pStyle w:val="Compact"/>
            </w:pPr>
            <w:r>
              <w:t xml:space="preserve">__ / __s / __</w:t>
            </w:r>
          </w:p>
        </w:tc>
        <w:tc>
          <w:tcPr/>
          <w:p>
            <w:pPr>
              <w:pStyle w:val="Compact"/>
            </w:pPr>
            <w:r>
              <w:t xml:space="preserve">__ / __s / __</w:t>
            </w:r>
          </w:p>
        </w:tc>
      </w:tr>
      <w:tr>
        <w:tc>
          <w:tcPr/>
          <w:p>
            <w:pPr>
              <w:pStyle w:val="Compact"/>
            </w:pPr>
            <w:r>
              <w:t xml:space="preserve">T5</w:t>
            </w:r>
          </w:p>
        </w:tc>
        <w:tc>
          <w:tcPr/>
          <w:p>
            <w:pPr>
              <w:pStyle w:val="Compact"/>
            </w:pPr>
            <w:r>
              <w:t xml:space="preserve">__ / __s / __</w:t>
            </w:r>
          </w:p>
        </w:tc>
        <w:tc>
          <w:tcPr/>
          <w:p>
            <w:pPr>
              <w:pStyle w:val="Compact"/>
            </w:pPr>
            <w:r>
              <w:t xml:space="preserve">__ / __s / __</w:t>
            </w:r>
          </w:p>
        </w:tc>
        <w:tc>
          <w:tcPr/>
          <w:p>
            <w:pPr>
              <w:pStyle w:val="Compact"/>
            </w:pPr>
            <w:r>
              <w:t xml:space="preserve">__ / __s / __</w:t>
            </w:r>
          </w:p>
        </w:tc>
      </w:tr>
      <w:tr>
        <w:tc>
          <w:tcPr/>
          <w:p>
            <w:pPr>
              <w:pStyle w:val="Compact"/>
            </w:pPr>
            <w:r>
              <w:t xml:space="preserve">T6</w:t>
            </w:r>
          </w:p>
        </w:tc>
        <w:tc>
          <w:tcPr/>
          <w:p>
            <w:pPr>
              <w:pStyle w:val="Compact"/>
            </w:pPr>
            <w:r>
              <w:t xml:space="preserve">__ / __s / __</w:t>
            </w:r>
          </w:p>
        </w:tc>
        <w:tc>
          <w:tcPr/>
          <w:p>
            <w:pPr>
              <w:pStyle w:val="Compact"/>
            </w:pPr>
            <w:r>
              <w:t xml:space="preserve">__ / __s / __</w:t>
            </w:r>
          </w:p>
        </w:tc>
        <w:tc>
          <w:tcPr/>
          <w:p>
            <w:pPr>
              <w:pStyle w:val="Compact"/>
            </w:pPr>
            <w:r>
              <w:t xml:space="preserve">__ / __s / __</w:t>
            </w:r>
          </w:p>
        </w:tc>
      </w:tr>
      <w:tr>
        <w:tc>
          <w:tcPr/>
          <w:p>
            <w:pPr>
              <w:pStyle w:val="Compact"/>
            </w:pPr>
            <w:r>
              <w:rPr>
                <w:b/>
                <w:bCs/>
              </w:rPr>
              <w:t xml:space="preserve">Task success rate</w:t>
            </w:r>
          </w:p>
        </w:tc>
        <w:tc>
          <w:tcPr/>
          <w:p>
            <w:pPr>
              <w:pStyle w:val="Compact"/>
            </w:pPr>
            <w:r>
              <w:rPr>
                <w:b/>
                <w:bCs/>
              </w:rPr>
              <w:t xml:space="preserve">__ %</w:t>
            </w:r>
          </w:p>
        </w:tc>
        <w:tc>
          <w:tcPr/>
          <w:p>
            <w:pPr>
              <w:pStyle w:val="Compact"/>
            </w:pPr>
            <w:r>
              <w:rPr>
                <w:b/>
                <w:bCs/>
              </w:rPr>
              <w:t xml:space="preserve">__ %</w:t>
            </w:r>
          </w:p>
        </w:tc>
        <w:tc>
          <w:tcPr/>
          <w:p>
            <w:pPr>
              <w:pStyle w:val="Compact"/>
            </w:pPr>
            <w:r>
              <w:rPr>
                <w:b/>
                <w:bCs/>
              </w:rPr>
              <w:t xml:space="preserve">__ %</w:t>
            </w:r>
          </w:p>
        </w:tc>
      </w:tr>
    </w:tbl>
    <w:p>
      <w:pPr>
        <w:pStyle w:val="BodyText"/>
      </w:pPr>
      <w:r>
        <w:rPr>
          <w:b/>
          <w:bCs/>
        </w:rPr>
        <w:t xml:space="preserve">Table 5.5: UAT Task-Performance Results (to be completed)</w:t>
      </w:r>
    </w:p>
    <w:p>
      <w:pPr>
        <w:pStyle w:val="BodyText"/>
      </w:pPr>
      <w:r>
        <w:rPr>
          <w:b/>
          <w:bCs/>
        </w:rPr>
        <w:t xml:space="preserve">SUS responses (template).</w:t>
      </w:r>
      <w:r>
        <w:t xml:space="preserve"> </w:t>
      </w:r>
      <w:r>
        <w:t xml:space="preserve">Record each participant's 1–5 rating for the ten statements in Table 5.10.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Statement</w:t>
            </w:r>
          </w:p>
        </w:tc>
        <w:tc>
          <w:tcPr/>
          <w:p>
            <w:pPr>
              <w:pStyle w:val="Compact"/>
              <w:jc w:val="center"/>
            </w:pPr>
            <w:r>
              <w:t xml:space="preserve">P1</w:t>
            </w:r>
          </w:p>
        </w:tc>
        <w:tc>
          <w:tcPr/>
          <w:p>
            <w:pPr>
              <w:pStyle w:val="Compact"/>
              <w:jc w:val="center"/>
            </w:pPr>
            <w:r>
              <w:t xml:space="preserve">P2</w:t>
            </w:r>
          </w:p>
        </w:tc>
        <w:tc>
          <w:tcPr/>
          <w:p>
            <w:pPr>
              <w:pStyle w:val="Compact"/>
              <w:jc w:val="center"/>
            </w:pPr>
            <w:r>
              <w:t xml:space="preserve">P3</w:t>
            </w:r>
          </w:p>
        </w:tc>
      </w:tr>
      <w:tr>
        <w:tc>
          <w:tcPr/>
          <w:p>
            <w:pPr>
              <w:pStyle w:val="Compact"/>
            </w:pPr>
            <w:r>
              <w:t xml:space="preserve">Q1 (positive)</w:t>
            </w:r>
          </w:p>
        </w:tc>
        <w:tc>
          <w:tcPr/>
          <w:p>
            <w:pPr>
              <w:pStyle w:val="Compact"/>
              <w:jc w:val="center"/>
            </w:pPr>
            <w:r>
              <w:t xml:space="preserve">_</w:t>
            </w:r>
          </w:p>
        </w:tc>
        <w:tc>
          <w:tcPr/>
          <w:p>
            <w:pPr>
              <w:pStyle w:val="Compact"/>
              <w:jc w:val="center"/>
            </w:pPr>
            <w:r>
              <w:t xml:space="preserve">_</w:t>
            </w:r>
          </w:p>
        </w:tc>
        <w:tc>
          <w:tcPr/>
          <w:p>
            <w:pPr>
              <w:pStyle w:val="Compact"/>
              <w:jc w:val="center"/>
            </w:pPr>
            <w:r>
              <w:t xml:space="preserve">_</w:t>
            </w:r>
          </w:p>
        </w:tc>
      </w:tr>
      <w:tr>
        <w:tc>
          <w:tcPr/>
          <w:p>
            <w:pPr>
              <w:pStyle w:val="Compact"/>
            </w:pPr>
            <w:r>
              <w:t xml:space="preserve">Q2 (negative)</w:t>
            </w:r>
          </w:p>
        </w:tc>
        <w:tc>
          <w:tcPr/>
          <w:p>
            <w:pPr>
              <w:pStyle w:val="Compact"/>
              <w:jc w:val="center"/>
            </w:pPr>
            <w:r>
              <w:t xml:space="preserve">_</w:t>
            </w:r>
          </w:p>
        </w:tc>
        <w:tc>
          <w:tcPr/>
          <w:p>
            <w:pPr>
              <w:pStyle w:val="Compact"/>
              <w:jc w:val="center"/>
            </w:pPr>
            <w:r>
              <w:t xml:space="preserve">_</w:t>
            </w:r>
          </w:p>
        </w:tc>
        <w:tc>
          <w:tcPr/>
          <w:p>
            <w:pPr>
              <w:pStyle w:val="Compact"/>
              <w:jc w:val="center"/>
            </w:pPr>
            <w:r>
              <w:t xml:space="preserve">_</w:t>
            </w:r>
          </w:p>
        </w:tc>
      </w:tr>
      <w:tr>
        <w:tc>
          <w:tcPr/>
          <w:p>
            <w:pPr>
              <w:pStyle w:val="Compact"/>
            </w:pPr>
            <w:r>
              <w:t xml:space="preserve">Q3 (positive)</w:t>
            </w:r>
          </w:p>
        </w:tc>
        <w:tc>
          <w:tcPr/>
          <w:p>
            <w:pPr>
              <w:pStyle w:val="Compact"/>
              <w:jc w:val="center"/>
            </w:pPr>
            <w:r>
              <w:t xml:space="preserve">_</w:t>
            </w:r>
          </w:p>
        </w:tc>
        <w:tc>
          <w:tcPr/>
          <w:p>
            <w:pPr>
              <w:pStyle w:val="Compact"/>
              <w:jc w:val="center"/>
            </w:pPr>
            <w:r>
              <w:t xml:space="preserve">_</w:t>
            </w:r>
          </w:p>
        </w:tc>
        <w:tc>
          <w:tcPr/>
          <w:p>
            <w:pPr>
              <w:pStyle w:val="Compact"/>
              <w:jc w:val="center"/>
            </w:pPr>
            <w:r>
              <w:t xml:space="preserve">_</w:t>
            </w:r>
          </w:p>
        </w:tc>
      </w:tr>
      <w:tr>
        <w:tc>
          <w:tcPr/>
          <w:p>
            <w:pPr>
              <w:pStyle w:val="Compact"/>
            </w:pPr>
            <w:r>
              <w:t xml:space="preserve">Q4 (negative)</w:t>
            </w:r>
          </w:p>
        </w:tc>
        <w:tc>
          <w:tcPr/>
          <w:p>
            <w:pPr>
              <w:pStyle w:val="Compact"/>
              <w:jc w:val="center"/>
            </w:pPr>
            <w:r>
              <w:t xml:space="preserve">_</w:t>
            </w:r>
          </w:p>
        </w:tc>
        <w:tc>
          <w:tcPr/>
          <w:p>
            <w:pPr>
              <w:pStyle w:val="Compact"/>
              <w:jc w:val="center"/>
            </w:pPr>
            <w:r>
              <w:t xml:space="preserve">_</w:t>
            </w:r>
          </w:p>
        </w:tc>
        <w:tc>
          <w:tcPr/>
          <w:p>
            <w:pPr>
              <w:pStyle w:val="Compact"/>
              <w:jc w:val="center"/>
            </w:pPr>
            <w:r>
              <w:t xml:space="preserve">_</w:t>
            </w:r>
          </w:p>
        </w:tc>
      </w:tr>
      <w:tr>
        <w:tc>
          <w:tcPr/>
          <w:p>
            <w:pPr>
              <w:pStyle w:val="Compact"/>
            </w:pPr>
            <w:r>
              <w:t xml:space="preserve">Q5 (positive)</w:t>
            </w:r>
          </w:p>
        </w:tc>
        <w:tc>
          <w:tcPr/>
          <w:p>
            <w:pPr>
              <w:pStyle w:val="Compact"/>
              <w:jc w:val="center"/>
            </w:pPr>
            <w:r>
              <w:t xml:space="preserve">_</w:t>
            </w:r>
          </w:p>
        </w:tc>
        <w:tc>
          <w:tcPr/>
          <w:p>
            <w:pPr>
              <w:pStyle w:val="Compact"/>
              <w:jc w:val="center"/>
            </w:pPr>
            <w:r>
              <w:t xml:space="preserve">_</w:t>
            </w:r>
          </w:p>
        </w:tc>
        <w:tc>
          <w:tcPr/>
          <w:p>
            <w:pPr>
              <w:pStyle w:val="Compact"/>
              <w:jc w:val="center"/>
            </w:pPr>
            <w:r>
              <w:t xml:space="preserve">_</w:t>
            </w:r>
          </w:p>
        </w:tc>
      </w:tr>
      <w:tr>
        <w:tc>
          <w:tcPr/>
          <w:p>
            <w:pPr>
              <w:pStyle w:val="Compact"/>
            </w:pPr>
            <w:r>
              <w:t xml:space="preserve">Q6 (negative)</w:t>
            </w:r>
          </w:p>
        </w:tc>
        <w:tc>
          <w:tcPr/>
          <w:p>
            <w:pPr>
              <w:pStyle w:val="Compact"/>
              <w:jc w:val="center"/>
            </w:pPr>
            <w:r>
              <w:t xml:space="preserve">_</w:t>
            </w:r>
          </w:p>
        </w:tc>
        <w:tc>
          <w:tcPr/>
          <w:p>
            <w:pPr>
              <w:pStyle w:val="Compact"/>
              <w:jc w:val="center"/>
            </w:pPr>
            <w:r>
              <w:t xml:space="preserve">_</w:t>
            </w:r>
          </w:p>
        </w:tc>
        <w:tc>
          <w:tcPr/>
          <w:p>
            <w:pPr>
              <w:pStyle w:val="Compact"/>
              <w:jc w:val="center"/>
            </w:pPr>
            <w:r>
              <w:t xml:space="preserve">_</w:t>
            </w:r>
          </w:p>
        </w:tc>
      </w:tr>
      <w:tr>
        <w:tc>
          <w:tcPr/>
          <w:p>
            <w:pPr>
              <w:pStyle w:val="Compact"/>
            </w:pPr>
            <w:r>
              <w:t xml:space="preserve">Q7 (positive)</w:t>
            </w:r>
          </w:p>
        </w:tc>
        <w:tc>
          <w:tcPr/>
          <w:p>
            <w:pPr>
              <w:pStyle w:val="Compact"/>
              <w:jc w:val="center"/>
            </w:pPr>
            <w:r>
              <w:t xml:space="preserve">_</w:t>
            </w:r>
          </w:p>
        </w:tc>
        <w:tc>
          <w:tcPr/>
          <w:p>
            <w:pPr>
              <w:pStyle w:val="Compact"/>
              <w:jc w:val="center"/>
            </w:pPr>
            <w:r>
              <w:t xml:space="preserve">_</w:t>
            </w:r>
          </w:p>
        </w:tc>
        <w:tc>
          <w:tcPr/>
          <w:p>
            <w:pPr>
              <w:pStyle w:val="Compact"/>
              <w:jc w:val="center"/>
            </w:pPr>
            <w:r>
              <w:t xml:space="preserve">_</w:t>
            </w:r>
          </w:p>
        </w:tc>
      </w:tr>
      <w:tr>
        <w:tc>
          <w:tcPr/>
          <w:p>
            <w:pPr>
              <w:pStyle w:val="Compact"/>
            </w:pPr>
            <w:r>
              <w:t xml:space="preserve">Q8 (negative)</w:t>
            </w:r>
          </w:p>
        </w:tc>
        <w:tc>
          <w:tcPr/>
          <w:p>
            <w:pPr>
              <w:pStyle w:val="Compact"/>
              <w:jc w:val="center"/>
            </w:pPr>
            <w:r>
              <w:t xml:space="preserve">_</w:t>
            </w:r>
          </w:p>
        </w:tc>
        <w:tc>
          <w:tcPr/>
          <w:p>
            <w:pPr>
              <w:pStyle w:val="Compact"/>
              <w:jc w:val="center"/>
            </w:pPr>
            <w:r>
              <w:t xml:space="preserve">_</w:t>
            </w:r>
          </w:p>
        </w:tc>
        <w:tc>
          <w:tcPr/>
          <w:p>
            <w:pPr>
              <w:pStyle w:val="Compact"/>
              <w:jc w:val="center"/>
            </w:pPr>
            <w:r>
              <w:t xml:space="preserve">_</w:t>
            </w:r>
          </w:p>
        </w:tc>
      </w:tr>
      <w:tr>
        <w:tc>
          <w:tcPr/>
          <w:p>
            <w:pPr>
              <w:pStyle w:val="Compact"/>
            </w:pPr>
            <w:r>
              <w:t xml:space="preserve">Q9 (positive)</w:t>
            </w:r>
          </w:p>
        </w:tc>
        <w:tc>
          <w:tcPr/>
          <w:p>
            <w:pPr>
              <w:pStyle w:val="Compact"/>
              <w:jc w:val="center"/>
            </w:pPr>
            <w:r>
              <w:t xml:space="preserve">_</w:t>
            </w:r>
          </w:p>
        </w:tc>
        <w:tc>
          <w:tcPr/>
          <w:p>
            <w:pPr>
              <w:pStyle w:val="Compact"/>
              <w:jc w:val="center"/>
            </w:pPr>
            <w:r>
              <w:t xml:space="preserve">_</w:t>
            </w:r>
          </w:p>
        </w:tc>
        <w:tc>
          <w:tcPr/>
          <w:p>
            <w:pPr>
              <w:pStyle w:val="Compact"/>
              <w:jc w:val="center"/>
            </w:pPr>
            <w:r>
              <w:t xml:space="preserve">_</w:t>
            </w:r>
          </w:p>
        </w:tc>
      </w:tr>
      <w:tr>
        <w:tc>
          <w:tcPr/>
          <w:p>
            <w:pPr>
              <w:pStyle w:val="Compact"/>
            </w:pPr>
            <w:r>
              <w:t xml:space="preserve">Q10 (negative)</w:t>
            </w:r>
          </w:p>
        </w:tc>
        <w:tc>
          <w:tcPr/>
          <w:p>
            <w:pPr>
              <w:pStyle w:val="Compact"/>
              <w:jc w:val="center"/>
            </w:pPr>
            <w:r>
              <w:t xml:space="preserve">_</w:t>
            </w:r>
          </w:p>
        </w:tc>
        <w:tc>
          <w:tcPr/>
          <w:p>
            <w:pPr>
              <w:pStyle w:val="Compact"/>
              <w:jc w:val="center"/>
            </w:pPr>
            <w:r>
              <w:t xml:space="preserve">_</w:t>
            </w:r>
          </w:p>
        </w:tc>
        <w:tc>
          <w:tcPr/>
          <w:p>
            <w:pPr>
              <w:pStyle w:val="Compact"/>
              <w:jc w:val="center"/>
            </w:pPr>
            <w:r>
              <w:t xml:space="preserve">_</w:t>
            </w:r>
          </w:p>
        </w:tc>
      </w:tr>
    </w:tbl>
    <w:p>
      <w:pPr>
        <w:pStyle w:val="BodyText"/>
      </w:pPr>
      <w:r>
        <w:rPr>
          <w:b/>
          <w:bCs/>
        </w:rPr>
        <w:t xml:space="preserve">Table 5.10: SUS Raw Responses (to be completed)</w:t>
      </w:r>
    </w:p>
    <w:p>
      <w:pPr>
        <w:pStyle w:val="BodyText"/>
      </w:pPr>
      <w:r>
        <w:rPr>
          <w:b/>
          <w:bCs/>
        </w:rPr>
        <w:t xml:space="preserve">SUS scoring method.</w:t>
      </w:r>
      <w:r>
        <w:t xml:space="preserve"> </w:t>
      </w:r>
      <w:r>
        <w:t xml:space="preserve">The SUS score for one participant is computed as follows: for the</w:t>
      </w:r>
      <w:r>
        <w:t xml:space="preserve"> </w:t>
      </w:r>
      <w:r>
        <w:rPr>
          <w:b/>
          <w:bCs/>
        </w:rPr>
        <w:t xml:space="preserve">odd-numbered (positive)</w:t>
      </w:r>
      <w:r>
        <w:t xml:space="preserve"> </w:t>
      </w:r>
      <w:r>
        <w:t xml:space="preserve">items Q1, Q3, Q5, Q7, Q9, the item score is</w:t>
      </w:r>
      <w:r>
        <w:t xml:space="preserve"> </w:t>
      </w:r>
      <w:r>
        <w:rPr>
          <w:rStyle w:val="VerbatimChar"/>
        </w:rPr>
        <w:t xml:space="preserve">(response − 1)</w:t>
      </w:r>
      <w:r>
        <w:t xml:space="preserve">; for the</w:t>
      </w:r>
      <w:r>
        <w:t xml:space="preserve"> </w:t>
      </w:r>
      <w:r>
        <w:rPr>
          <w:b/>
          <w:bCs/>
        </w:rPr>
        <w:t xml:space="preserve">even-numbered (negative)</w:t>
      </w:r>
      <w:r>
        <w:t xml:space="preserve"> </w:t>
      </w:r>
      <w:r>
        <w:t xml:space="preserve">items Q2, Q4, Q6, Q8, Q10, the item score is</w:t>
      </w:r>
      <w:r>
        <w:t xml:space="preserve"> </w:t>
      </w:r>
      <w:r>
        <w:rPr>
          <w:rStyle w:val="VerbatimChar"/>
        </w:rPr>
        <w:t xml:space="preserve">(5 − response)</w:t>
      </w:r>
      <w:r>
        <w:t xml:space="preserve">. Sum the ten item scores (range 0–40) and multiply by</w:t>
      </w:r>
      <w:r>
        <w:t xml:space="preserve"> </w:t>
      </w:r>
      <w:r>
        <w:rPr>
          <w:b/>
          <w:bCs/>
        </w:rPr>
        <w:t xml:space="preserve">2.5</w:t>
      </w:r>
      <w:r>
        <w:t xml:space="preserve"> </w:t>
      </w:r>
      <w:r>
        <w:t xml:space="preserve">to obtain that participant's SUS score on a</w:t>
      </w:r>
      <w:r>
        <w:t xml:space="preserve"> </w:t>
      </w:r>
      <w:r>
        <w:rPr>
          <w:b/>
          <w:bCs/>
        </w:rPr>
        <w:t xml:space="preserve">0–100</w:t>
      </w:r>
      <w:r>
        <w:t xml:space="preserve"> </w:t>
      </w:r>
      <w:r>
        <w:t xml:space="preserve">scale. The overall SUS score is the mean across all participants.</w:t>
      </w:r>
    </w:p>
    <w:p>
      <w:pPr>
        <w:pStyle w:val="BodyText"/>
      </w:pPr>
      <w:r>
        <w:rPr>
          <w:i/>
          <w:iCs/>
        </w:rPr>
        <w:t xml:space="preserve">Worked example (illustrative only — not real data).</w:t>
      </w:r>
      <w:r>
        <w:t xml:space="preserve"> </w:t>
      </w:r>
      <w:r>
        <w:t xml:space="preserve">If a participant answered the positive items with 4 and the negative items with 2, each item contributes 3, giving a sum of 30, and a SUS score of 30 × 2.5 =</w:t>
      </w:r>
      <w:r>
        <w:t xml:space="preserve"> </w:t>
      </w:r>
      <w:r>
        <w:rPr>
          <w:b/>
          <w:bCs/>
        </w:rPr>
        <w:t xml:space="preserve">75</w:t>
      </w:r>
      <w:r>
        <w:t xml:space="preserve">.</w:t>
      </w:r>
    </w:p>
    <w:p>
      <w:pPr>
        <w:pStyle w:val="BodyText"/>
      </w:pPr>
      <w:r>
        <w:rPr>
          <w:b/>
          <w:bCs/>
        </w:rPr>
        <w:t xml:space="preserve">Aggregate result (template).</w:t>
      </w:r>
      <w:r>
        <w:t xml:space="preserve"> </w:t>
      </w:r>
      <w:r>
        <w:t xml:space="preserve">Enter each participant's computed score and the mean in Table 5.11, then interpret it against the standard benchmark.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Participant</w:t>
            </w:r>
          </w:p>
        </w:tc>
        <w:tc>
          <w:tcPr/>
          <w:p>
            <w:pPr>
              <w:pStyle w:val="Compact"/>
              <w:jc w:val="center"/>
            </w:pPr>
            <w:r>
              <w:t xml:space="preserve">Sum of item scores (0–40)</w:t>
            </w:r>
          </w:p>
        </w:tc>
        <w:tc>
          <w:tcPr/>
          <w:p>
            <w:pPr>
              <w:pStyle w:val="Compact"/>
              <w:jc w:val="center"/>
            </w:pPr>
            <w:r>
              <w:t xml:space="preserve">SUS score (×2.5, 0–100)</w:t>
            </w:r>
          </w:p>
        </w:tc>
      </w:tr>
      <w:tr>
        <w:tc>
          <w:tcPr/>
          <w:p>
            <w:pPr>
              <w:pStyle w:val="Compact"/>
            </w:pPr>
            <w:r>
              <w:t xml:space="preserve">P1</w:t>
            </w:r>
          </w:p>
        </w:tc>
        <w:tc>
          <w:tcPr/>
          <w:p>
            <w:pPr>
              <w:pStyle w:val="Compact"/>
              <w:jc w:val="center"/>
            </w:pPr>
            <w:r>
              <w:t xml:space="preserve">__</w:t>
            </w:r>
          </w:p>
        </w:tc>
        <w:tc>
          <w:tcPr/>
          <w:p>
            <w:pPr>
              <w:pStyle w:val="Compact"/>
              <w:jc w:val="center"/>
            </w:pPr>
            <w:r>
              <w:t xml:space="preserve">__</w:t>
            </w:r>
          </w:p>
        </w:tc>
      </w:tr>
      <w:tr>
        <w:tc>
          <w:tcPr/>
          <w:p>
            <w:pPr>
              <w:pStyle w:val="Compact"/>
            </w:pPr>
            <w:r>
              <w:t xml:space="preserve">P2</w:t>
            </w:r>
          </w:p>
        </w:tc>
        <w:tc>
          <w:tcPr/>
          <w:p>
            <w:pPr>
              <w:pStyle w:val="Compact"/>
              <w:jc w:val="center"/>
            </w:pPr>
            <w:r>
              <w:t xml:space="preserve">__</w:t>
            </w:r>
          </w:p>
        </w:tc>
        <w:tc>
          <w:tcPr/>
          <w:p>
            <w:pPr>
              <w:pStyle w:val="Compact"/>
              <w:jc w:val="center"/>
            </w:pPr>
            <w:r>
              <w:t xml:space="preserve">__</w:t>
            </w:r>
          </w:p>
        </w:tc>
      </w:tr>
      <w:tr>
        <w:tc>
          <w:tcPr/>
          <w:p>
            <w:pPr>
              <w:pStyle w:val="Compact"/>
            </w:pPr>
            <w:r>
              <w:t xml:space="preserve">P3</w:t>
            </w:r>
          </w:p>
        </w:tc>
        <w:tc>
          <w:tcPr/>
          <w:p>
            <w:pPr>
              <w:pStyle w:val="Compact"/>
              <w:jc w:val="center"/>
            </w:pPr>
            <w:r>
              <w:t xml:space="preserve">__</w:t>
            </w:r>
          </w:p>
        </w:tc>
        <w:tc>
          <w:tcPr/>
          <w:p>
            <w:pPr>
              <w:pStyle w:val="Compact"/>
              <w:jc w:val="center"/>
            </w:pPr>
            <w:r>
              <w:t xml:space="preserve">__</w:t>
            </w:r>
          </w:p>
        </w:tc>
      </w:tr>
      <w:tr>
        <w:tc>
          <w:tcPr/>
          <w:p>
            <w:pPr>
              <w:pStyle w:val="Compact"/>
            </w:pPr>
            <w:r>
              <w:rPr>
                <w:b/>
                <w:bCs/>
              </w:rPr>
              <w:t xml:space="preserve">Mean SUS score</w:t>
            </w:r>
          </w:p>
        </w:tc>
        <w:tc>
          <w:tcPr/>
          <w:p>
            <w:pPr>
              <w:pStyle w:val="Compact"/>
            </w:pPr>
          </w:p>
        </w:tc>
        <w:tc>
          <w:tcPr/>
          <w:p>
            <w:pPr>
              <w:pStyle w:val="Compact"/>
              <w:jc w:val="center"/>
            </w:pPr>
            <w:r>
              <w:rPr>
                <w:b/>
                <w:bCs/>
              </w:rPr>
              <w:t xml:space="preserve">__</w:t>
            </w:r>
          </w:p>
        </w:tc>
      </w:tr>
    </w:tbl>
    <w:p>
      <w:pPr>
        <w:pStyle w:val="BodyText"/>
      </w:pPr>
      <w:r>
        <w:rPr>
          <w:b/>
          <w:bCs/>
        </w:rPr>
        <w:t xml:space="preserve">Table 5.11: Aggregate SUS Result (to be completed)</w:t>
      </w:r>
    </w:p>
    <w:p>
      <w:pPr>
        <w:pStyle w:val="BodyText"/>
      </w:pPr>
      <w:r>
        <w:rPr>
          <w:b/>
          <w:bCs/>
        </w:rPr>
        <w:t xml:space="preserve">Interpretation benchmark.</w:t>
      </w:r>
      <w:r>
        <w:t xml:space="preserve"> </w:t>
      </w:r>
      <w:r>
        <w:t xml:space="preserve">A mean SUS score is interpreted against the established scale: the average across systems is about</w:t>
      </w:r>
      <w:r>
        <w:t xml:space="preserve"> </w:t>
      </w:r>
      <w:r>
        <w:rPr>
          <w:b/>
          <w:bCs/>
        </w:rPr>
        <w:t xml:space="preserve">68</w:t>
      </w:r>
      <w:r>
        <w:t xml:space="preserve">; scores are commonly graded</w:t>
      </w:r>
      <w:r>
        <w:t xml:space="preserve"> </w:t>
      </w:r>
      <w:r>
        <w:rPr>
          <w:b/>
          <w:bCs/>
        </w:rPr>
        <w:t xml:space="preserve">A (≥ 80.3, "Excellent")</w:t>
      </w:r>
      <w:r>
        <w:t xml:space="preserve">,</w:t>
      </w:r>
      <w:r>
        <w:t xml:space="preserve"> </w:t>
      </w:r>
      <w:r>
        <w:rPr>
          <w:b/>
          <w:bCs/>
        </w:rPr>
        <w:t xml:space="preserve">B (68–80.2, "Good")</w:t>
      </w:r>
      <w:r>
        <w:t xml:space="preserve">,</w:t>
      </w:r>
      <w:r>
        <w:t xml:space="preserve"> </w:t>
      </w:r>
      <w:r>
        <w:rPr>
          <w:b/>
          <w:bCs/>
        </w:rPr>
        <w:t xml:space="preserve">C (≈ 68, "OK")</w:t>
      </w:r>
      <w:r>
        <w:t xml:space="preserve">,</w:t>
      </w:r>
      <w:r>
        <w:t xml:space="preserve"> </w:t>
      </w:r>
      <w:r>
        <w:rPr>
          <w:b/>
          <w:bCs/>
        </w:rPr>
        <w:t xml:space="preserve">D (51–67, "Poor")</w:t>
      </w:r>
      <w:r>
        <w:t xml:space="preserve">, and</w:t>
      </w:r>
      <w:r>
        <w:t xml:space="preserve"> </w:t>
      </w:r>
      <w:r>
        <w:rPr>
          <w:b/>
          <w:bCs/>
        </w:rPr>
        <w:t xml:space="preserve">F (&lt; 51, "Awful")</w:t>
      </w:r>
      <w:r>
        <w:t xml:space="preserve">. A score above 68 indicates above-average usability. The computed mean should be stated here and placed on this scale, e.g.</w:t>
      </w:r>
      <w:r>
        <w:t xml:space="preserve"> </w:t>
      </w:r>
      <w:r>
        <w:rPr>
          <w:i/>
          <w:iCs/>
        </w:rPr>
        <w:t xml:space="preserve">"the mean SUS score of ___ corresponds to grade ___ (adjective ___), indicating that the target users found VulnTriage [above/below]-average in usability."</w:t>
      </w:r>
    </w:p>
    <w:p>
      <w:pPr>
        <w:pStyle w:val="BodyText"/>
      </w:pPr>
      <w:r>
        <w:rPr>
          <w:b/>
          <w:bCs/>
        </w:rPr>
        <w:t xml:space="preserve">Qualitative feedback (template).</w:t>
      </w:r>
      <w:r>
        <w:t xml:space="preserve"> </w:t>
      </w:r>
      <w:r>
        <w:t xml:space="preserve">Record any open-ended comments, difficulties observed, and suggestions: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Participant</w:t>
            </w:r>
          </w:p>
        </w:tc>
        <w:tc>
          <w:tcPr/>
          <w:p>
            <w:pPr>
              <w:pStyle w:val="Compact"/>
            </w:pPr>
            <w:r>
              <w:t xml:space="preserve">Positive comments</w:t>
            </w:r>
          </w:p>
        </w:tc>
        <w:tc>
          <w:tcPr/>
          <w:p>
            <w:pPr>
              <w:pStyle w:val="Compact"/>
            </w:pPr>
            <w:r>
              <w:t xml:space="preserve">Difficulties / suggestions</w:t>
            </w:r>
          </w:p>
        </w:tc>
      </w:tr>
      <w:tr>
        <w:tc>
          <w:tcPr/>
          <w:p>
            <w:pPr>
              <w:pStyle w:val="Compact"/>
            </w:pPr>
            <w:r>
              <w:t xml:space="preserve">P1</w:t>
            </w:r>
          </w:p>
        </w:tc>
        <w:tc>
          <w:tcPr/>
          <w:p>
            <w:pPr>
              <w:pStyle w:val="Compact"/>
            </w:pPr>
            <w:r>
              <w:t xml:space="preserve">______________</w:t>
            </w:r>
          </w:p>
        </w:tc>
        <w:tc>
          <w:tcPr/>
          <w:p>
            <w:pPr>
              <w:pStyle w:val="Compact"/>
            </w:pPr>
            <w:r>
              <w:t xml:space="preserve">______________</w:t>
            </w:r>
          </w:p>
        </w:tc>
      </w:tr>
      <w:tr>
        <w:tc>
          <w:tcPr/>
          <w:p>
            <w:pPr>
              <w:pStyle w:val="Compact"/>
            </w:pPr>
            <w:r>
              <w:t xml:space="preserve">P2</w:t>
            </w:r>
          </w:p>
        </w:tc>
        <w:tc>
          <w:tcPr/>
          <w:p>
            <w:pPr>
              <w:pStyle w:val="Compact"/>
            </w:pPr>
            <w:r>
              <w:t xml:space="preserve">______________</w:t>
            </w:r>
          </w:p>
        </w:tc>
        <w:tc>
          <w:tcPr/>
          <w:p>
            <w:pPr>
              <w:pStyle w:val="Compact"/>
            </w:pPr>
            <w:r>
              <w:t xml:space="preserve">______________</w:t>
            </w:r>
          </w:p>
        </w:tc>
      </w:tr>
      <w:tr>
        <w:tc>
          <w:tcPr/>
          <w:p>
            <w:pPr>
              <w:pStyle w:val="Compact"/>
            </w:pPr>
            <w:r>
              <w:t xml:space="preserve">P3</w:t>
            </w:r>
          </w:p>
        </w:tc>
        <w:tc>
          <w:tcPr/>
          <w:p>
            <w:pPr>
              <w:pStyle w:val="Compact"/>
            </w:pPr>
            <w:r>
              <w:t xml:space="preserve">______________</w:t>
            </w:r>
          </w:p>
        </w:tc>
        <w:tc>
          <w:tcPr/>
          <w:p>
            <w:pPr>
              <w:pStyle w:val="Compact"/>
            </w:pPr>
            <w:r>
              <w:t xml:space="preserve">______________</w:t>
            </w:r>
          </w:p>
        </w:tc>
      </w:tr>
    </w:tbl>
    <w:p>
      <w:pPr>
        <w:pStyle w:val="BodyText"/>
      </w:pPr>
      <w:r>
        <w:rPr>
          <w:b/>
          <w:bCs/>
        </w:rPr>
        <w:t xml:space="preserve">Table 5.12: Qualitative UAT Feedback (to be completed)</w:t>
      </w:r>
    </w:p>
    <w:p>
      <w:pPr>
        <w:pStyle w:val="BodyText"/>
      </w:pPr>
      <w:r>
        <w:rPr>
          <w:b/>
          <w:bCs/>
        </w:rPr>
        <w:t xml:space="preserve">Discussion (to be completed after testing).</w:t>
      </w:r>
      <w:r>
        <w:t xml:space="preserve"> </w:t>
      </w:r>
      <w:r>
        <w:t xml:space="preserve">Once the real data is entered, discuss it here: relate the task-success rates and times to how intuitive the workflow proved; relate the mean SUS score to the benchmark and to the design decisions in Chapter 4 (for example, whether the confidence rationale in the finding-detail screen helped testers answer task T4); and translate the qualitative feedback into concrete improvements. If any task showed a low success rate or a recurring difficulty, identify the interface element responsible and propose a fix, closing the loop between testing and design.</w:t>
      </w:r>
    </w:p>
    <w:p>
      <w:r>
        <w:pict>
          <v:rect style="width:0;height:1.5pt" o:hralign="center" o:hrstd="t" o:hr="t"/>
        </w:pict>
      </w:r>
    </w:p>
    <w:bookmarkEnd w:id="18"/>
    <w:bookmarkEnd w:id="19"/>
    <w:bookmarkStart w:id="20" w:name="X32768a294109eb22590a37edaae685c4b9e19bc"/>
    <w:p>
      <w:pPr>
        <w:pStyle w:val="Heading2"/>
      </w:pPr>
      <w:r>
        <w:t xml:space="preserve">5.4 Summary</w:t>
      </w:r>
    </w:p>
    <w:p>
      <w:pPr>
        <w:pStyle w:val="FirstParagraph"/>
      </w:pPr>
      <w:r>
        <w:t xml:space="preserve">This chapter evaluated the completed VulnTriage system with two complementary techniques.</w:t>
      </w:r>
      <w:r>
        <w:t xml:space="preserve"> </w:t>
      </w:r>
      <w:r>
        <w:rPr>
          <w:b/>
          <w:bCs/>
        </w:rPr>
        <w:t xml:space="preserve">White-box testing</w:t>
      </w:r>
      <w:r>
        <w:t xml:space="preserve"> </w:t>
      </w:r>
      <w:r>
        <w:t xml:space="preserve">provided objective, reproducible evidence of correctness: all</w:t>
      </w:r>
      <w:r>
        <w:t xml:space="preserve"> </w:t>
      </w:r>
      <w:r>
        <w:rPr>
          <w:b/>
          <w:bCs/>
        </w:rPr>
        <w:t xml:space="preserve">97 automated unit and integration tests pass</w:t>
      </w:r>
      <w:r>
        <w:t xml:space="preserve">, the machine-learning prioritiser achieves</w:t>
      </w:r>
      <w:r>
        <w:t xml:space="preserve"> </w:t>
      </w:r>
      <w:r>
        <w:rPr>
          <w:b/>
          <w:bCs/>
        </w:rPr>
        <w:t xml:space="preserve">99.68% accuracy (macro-F1 0.9941)</w:t>
      </w:r>
      <w:r>
        <w:t xml:space="preserve"> </w:t>
      </w:r>
      <w:r>
        <w:t xml:space="preserve">on 21,697 unseen real records with only benign off-by-one-band errors, the Confidence Engine reaches</w:t>
      </w:r>
      <w:r>
        <w:t xml:space="preserve"> </w:t>
      </w:r>
      <w:r>
        <w:rPr>
          <w:b/>
          <w:bCs/>
        </w:rPr>
        <w:t xml:space="preserve">ROC-AUC ≈ 0.82 with perfect "Confirmed" precision</w:t>
      </w:r>
      <w:r>
        <w:t xml:space="preserve"> </w:t>
      </w:r>
      <w:r>
        <w:t xml:space="preserve">and ~81% false-positive suppression, and the full pipeline was verified end-to-end against a live target through to a generated PDF report.</w:t>
      </w:r>
      <w:r>
        <w:t xml:space="preserve"> </w:t>
      </w:r>
      <w:r>
        <w:rPr>
          <w:b/>
          <w:bCs/>
        </w:rPr>
        <w:t xml:space="preserve">User Acceptance Testing with the System Usability Scale</w:t>
      </w:r>
      <w:r>
        <w:t xml:space="preserve"> </w:t>
      </w:r>
      <w:r>
        <w:t xml:space="preserve">provides the second axis — a complete, ready-to-run instrument (task scenarios, questionnaire, scoring method, and result templates) to be executed with at least three representative testers, whose scores are recorded and interpreted against the SUS benchmark.</w:t>
      </w:r>
    </w:p>
    <w:p>
      <w:pPr>
        <w:pStyle w:val="BodyText"/>
      </w:pPr>
      <w:r>
        <w:t xml:space="preserve">Together the two techniques address both correctness and usability. The white-box results demonstrate that the system computes trustworthy, evidence-backed triage verdicts; the UAT/SUS instrument establishes whether the intended users can operate it effectively and would accept it in practice. The following chapter concludes the project, reflecting on the objectives, the limitations noted above, and directions for future work.</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2026-07-15T02:58:27Z</dcterms:created>
  <dcterms:modified xsi:type="dcterms:W3CDTF">2026-07-15T02:58:27Z</dcterms:modified>
</cp:coreProperties>
</file>

<file path=docProps/custom.xml><?xml version="1.0" encoding="utf-8"?>
<Properties xmlns="http://schemas.openxmlformats.org/officeDocument/2006/custom-properties" xmlns:vt="http://schemas.openxmlformats.org/officeDocument/2006/docPropsVTypes"/>
</file>