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9</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97</w:t>
            </w:r>
          </w:p>
        </w:tc>
      </w:tr>
    </w:tbl>
    <w:p>
      <w:pPr>
        <w:pStyle w:val="BodyText"/>
      </w:pPr>
      <w:r>
        <w:rPr>
          <w:b/>
          <w:bCs/>
        </w:rPr>
        <w:t xml:space="preserve">Table 5.1: White-Box Test Coverage by Component</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46" w:name="Xdf8304cc98c46e7ba29fa90a2df6e3c66112698"/>
    <w:p>
      <w:pPr>
        <w:pStyle w:val="Heading2"/>
      </w:pPr>
      <w:r>
        <w:t xml:space="preserve">5.3 System Testing and Discussion</w:t>
      </w:r>
    </w:p>
    <w:bookmarkStart w:id="43" w:name="Xb0ff592cf76b56e6bfcd93a7bb3d4b0b056114d"/>
    <w:p>
      <w:pPr>
        <w:pStyle w:val="Heading3"/>
      </w:pPr>
      <w:r>
        <w:t xml:space="preserve">5.3.1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0"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0"/>
    <w:bookmarkStart w:id="21"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1"/>
    <w:bookmarkStart w:id="22"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2"/>
    <w:bookmarkStart w:id="23"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3"/>
    <w:bookmarkStart w:id="24"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4"/>
    <w:bookmarkStart w:id="25"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5"/>
    <w:bookmarkStart w:id="26"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6"/>
    <w:bookmarkStart w:id="27"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7"/>
    <w:bookmarkStart w:id="28"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r>
        <w:tc>
          <w:tcPr/>
          <w:p>
            <w:pPr>
              <w:pStyle w:val="Compact"/>
            </w:pPr>
            <w:r>
              <w:t xml:space="preserve">CONF-9</w:t>
            </w:r>
          </w:p>
        </w:tc>
        <w:tc>
          <w:tcPr/>
          <w:p>
            <w:pPr>
              <w:pStyle w:val="Compact"/>
            </w:pPr>
            <w:r>
              <w:t xml:space="preserve">Separates the benchmark</w:t>
            </w:r>
          </w:p>
        </w:tc>
        <w:tc>
          <w:tcPr/>
          <w:p>
            <w:pPr>
              <w:pStyle w:val="Compact"/>
            </w:pPr>
            <w:r>
              <w:t xml:space="preserve">full labelled benchmark</w:t>
            </w:r>
          </w:p>
        </w:tc>
        <w:tc>
          <w:tcPr/>
          <w:p>
            <w:pPr>
              <w:pStyle w:val="Compact"/>
            </w:pPr>
            <w:r>
              <w:t xml:space="preserve">mean(TP) &gt; mean(FP) + 15</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8"/>
    <w:bookmarkStart w:id="29"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29"/>
    <w:bookmarkStart w:id="30"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0"/>
    <w:bookmarkStart w:id="31"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1"/>
    <w:bookmarkStart w:id="32"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2"/>
    <w:bookmarkStart w:id="42"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4" name="Picture"/>
            <a:graphic>
              <a:graphicData uri="http://schemas.openxmlformats.org/drawingml/2006/picture">
                <pic:pic>
                  <pic:nvPicPr>
                    <pic:cNvPr descr="images/ml-eval-terminal.png" id="35" name="Picture"/>
                    <pic:cNvPicPr>
                      <a:picLocks noChangeArrowheads="1" noChangeAspect="1"/>
                    </pic:cNvPicPr>
                  </pic:nvPicPr>
                  <pic:blipFill>
                    <a:blip r:embed="rId33"/>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7" name="Picture"/>
            <a:graphic>
              <a:graphicData uri="http://schemas.openxmlformats.org/drawingml/2006/picture">
                <pic:pic>
                  <pic:nvPicPr>
                    <pic:cNvPr descr="images/ml-per-class.png" id="38" name="Picture"/>
                    <pic:cNvPicPr>
                      <a:picLocks noChangeArrowheads="1" noChangeAspect="1"/>
                    </pic:cNvPicPr>
                  </pic:nvPicPr>
                  <pic:blipFill>
                    <a:blip r:embed="rId36"/>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0" name="Picture"/>
            <a:graphic>
              <a:graphicData uri="http://schemas.openxmlformats.org/drawingml/2006/picture">
                <pic:pic>
                  <pic:nvPicPr>
                    <pic:cNvPr descr="images/ml-confusion-matrix.png" id="41" name="Picture"/>
                    <pic:cNvPicPr>
                      <a:picLocks noChangeArrowheads="1" noChangeAspect="1"/>
                    </pic:cNvPicPr>
                  </pic:nvPicPr>
                  <pic:blipFill>
                    <a:blip r:embed="rId39"/>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benchmark (real).</w:t>
      </w:r>
      <w:r>
        <w:t xml:space="preserve"> </w:t>
      </w:r>
      <w:r>
        <w:t xml:space="preserve">The Confidence Engine was additionally evaluated on a curated benchmark of 32 labelled scenarios (16 true positives, 16 false positives) using the</w:t>
      </w:r>
      <w:r>
        <w:t xml:space="preserve"> </w:t>
      </w:r>
      <w:r>
        <w:rPr>
          <w:rStyle w:val="VerbatimChar"/>
        </w:rPr>
        <w:t xml:space="preserve">evaluate_confidence</w:t>
      </w:r>
      <w:r>
        <w:t xml:space="preserve"> </w:t>
      </w:r>
      <w:r>
        <w:t xml:space="preserve">harness. It achieved a</w:t>
      </w:r>
      <w:r>
        <w:t xml:space="preserve"> </w:t>
      </w:r>
      <w:r>
        <w:rPr>
          <w:b/>
          <w:bCs/>
        </w:rPr>
        <w:t xml:space="preserve">ROC-AUC of ≈ 0.82</w:t>
      </w:r>
      <w:r>
        <w:t xml:space="preserve">, a</w:t>
      </w:r>
      <w:r>
        <w:t xml:space="preserve"> </w:t>
      </w:r>
      <w:r>
        <w:rPr>
          <w:b/>
          <w:bCs/>
        </w:rPr>
        <w:t xml:space="preserve">precision of 1.0 for the "Confirmed" classification</w:t>
      </w:r>
      <w:r>
        <w:t xml:space="preserve"> </w:t>
      </w:r>
      <w:r>
        <w:t xml:space="preserve">(it never wrongly confirmed a false positive), and it</w:t>
      </w:r>
      <w:r>
        <w:t xml:space="preserve"> </w:t>
      </w:r>
      <w:r>
        <w:rPr>
          <w:b/>
          <w:bCs/>
        </w:rPr>
        <w:t xml:space="preserve">auto-dismissed ≈ 81% of the false positives while retaining 75% of the true positives</w:t>
      </w:r>
      <w:r>
        <w:t xml:space="preserve"> </w:t>
      </w:r>
      <w:r>
        <w:t xml:space="preserve">for review.</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5.19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5.19: Live Functional / System Verification Results</w:t>
      </w:r>
    </w:p>
    <w:bookmarkEnd w:id="42"/>
    <w:bookmarkEnd w:id="43"/>
    <w:bookmarkStart w:id="44"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5.23)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5.20: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3 UAT Results (to be completed)</w:t>
      </w:r>
    </w:p>
    <w:p>
      <w:pPr>
        <w:pStyle w:val="BodyText"/>
      </w:pPr>
      <w:r>
        <w:rPr>
          <w:b/>
          <w:bCs/>
        </w:rPr>
        <w:t xml:space="preserve">Acceptance summary (template).</w:t>
      </w:r>
      <w:r>
        <w:t xml:space="preserve"> </w:t>
      </w:r>
      <w:r>
        <w:t xml:space="preserve">Once the forms are collected, aggregate them in Table 5.23: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5.23: UAT Acceptance Summary (to be completed)</w:t>
      </w:r>
    </w:p>
    <w:bookmarkEnd w:id="44"/>
    <w:bookmarkStart w:id="45"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(97/97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and the Confidence Engine achieves perfect precision on its "Confirmed" verdict on the benchmark, meaning an analyst can trust that a "Confirmed" label is not a false alarm. The live verification (Table 5.19) confirmed that these component-level guarantees hold when the components are integrated and driven against a real target: the full scan-to-report workflow completed, the SQL injection was actively confirmed, and the report was produced. An honest limitation is that the confidence benchmark is a</w:t>
      </w:r>
      <w:r>
        <w:t xml:space="preserve"> </w:t>
      </w:r>
      <w:r>
        <w:rPr>
          <w:i/>
          <w:iCs/>
        </w:rPr>
        <w:t xml:space="preserve">curated synthetic</w:t>
      </w:r>
      <w:r>
        <w:t xml:space="preserve"> </w:t>
      </w:r>
      <w:r>
        <w:t xml:space="preserve">set rather than field-validated data,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45"/>
    <w:bookmarkEnd w:id="46"/>
    <w:bookmarkStart w:id="47"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97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the Confidence Engine reaches</w:t>
      </w:r>
      <w:r>
        <w:t xml:space="preserve"> </w:t>
      </w:r>
      <w:r>
        <w:rPr>
          <w:b/>
          <w:bCs/>
        </w:rPr>
        <w:t xml:space="preserve">ROC-AUC ≈ 0.82 with perfect "Confirmed" precision</w:t>
      </w:r>
      <w:r>
        <w:t xml:space="preserve"> </w:t>
      </w:r>
      <w:r>
        <w:t xml:space="preserve">and ~81% false-positive suppression, and the full pipeline was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2026-07-15T13:04:18Z</dcterms:created>
  <dcterms:modified xsi:type="dcterms:W3CDTF">2026-07-15T13:04:18Z</dcterms:modified>
</cp:coreProperties>
</file>

<file path=docProps/custom.xml><?xml version="1.0" encoding="utf-8"?>
<Properties xmlns="http://schemas.openxmlformats.org/officeDocument/2006/custom-properties" xmlns:vt="http://schemas.openxmlformats.org/officeDocument/2006/docPropsVTypes"/>
</file>