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59.png" ContentType="image/png"/>
  <Override PartName="/word/media/rId64.png" ContentType="image/png"/>
  <Override PartName="/word/media/rId88.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3.png" ContentType="image/png"/>
  <Override PartName="/word/media/rId82.png" ContentType="image/png"/>
  <Override PartName="/word/media/rId79.png" ContentType="image/png"/>
  <Override PartName="/word/media/rId7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63"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58" w:name="X4dc1cb5376edc7889a3716170578ee1fa879461"/>
    <w:p>
      <w:pPr>
        <w:pStyle w:val="Heading3"/>
      </w:pPr>
      <w:r>
        <w:t xml:space="preserve">4.4.3 Screen Design</w:t>
      </w:r>
    </w:p>
    <w:p>
      <w:pPr>
        <w:pStyle w:val="FirstParagraph"/>
      </w:pPr>
      <w:r>
        <w:t xml:space="preserve">Each principal screen is described below with reference to its screenshot. (The screenshots are collected, with justifications, in §4.6; here they are discussed from the standpoint of interface design.)</w:t>
      </w:r>
    </w:p>
    <w:p>
      <w:pPr>
        <w:pStyle w:val="BodyText"/>
      </w:pPr>
      <w:r>
        <w:rPr>
          <w:b/>
          <w:bCs/>
        </w:rPr>
        <w:t xml:space="preserve">Authentication.</w:t>
      </w:r>
      <w:r>
        <w:t xml:space="preserve"> </w:t>
      </w:r>
      <w:r>
        <w:t xml:space="preserve">The login and registration screens (Figures 4.18 and 4.19) present a single focused form. Their minimalism reflects the design goal of moving the analyst into the workspace with the least friction; all other functionality is gated behind successful authentication.</w:t>
      </w:r>
    </w:p>
    <w:p>
      <w:pPr>
        <w:pStyle w:val="BodyText"/>
      </w:pPr>
      <w:r>
        <w:rPr>
          <w:b/>
          <w:bCs/>
        </w:rPr>
        <w:t xml:space="preserve">Dashboard.</w:t>
      </w:r>
      <w:r>
        <w:t xml:space="preserve"> </w:t>
      </w:r>
      <w:r>
        <w:t xml:space="preserve">The dashboard (Figure 4.20) is the landing screen and the clearest expression of the system's value. It is organised top-to-bottom in decreasing order of abstraction: four key-performance-indicator cards give the headline counts (Total Findings, Confirmed, Needs Review, Total Uploads); three charts characterise the dataset (a severity-breakdown pie, a classification-results pie, and a scans-by-tool bar chart); and a Top-10-by-CVSS table lets the analyst drill straight into the most severe findings. This layout embodies the "overview first, detail on demand" principle of information-dashboard design.</w:t>
      </w:r>
    </w:p>
    <w:p>
      <w:pPr>
        <w:pStyle w:val="BodyText"/>
      </w:pPr>
      <w:r>
        <w:rPr>
          <w:b/>
          <w:bCs/>
        </w:rPr>
        <w:t xml:space="preserve">Upload.</w:t>
      </w:r>
      <w:r>
        <w:t xml:space="preserve"> </w:t>
      </w:r>
      <w:r>
        <w:t xml:space="preserve">The upload screen (Figure 4.21) is the primary ingestion path. It is divided into three regions: a scanner-type selector and drag-and-drop file zone; a</w:t>
      </w:r>
      <w:r>
        <w:t xml:space="preserve"> </w:t>
      </w:r>
      <w:r>
        <w:rPr>
          <w:i/>
          <w:iCs/>
        </w:rPr>
        <w:t xml:space="preserve">Pipeline Options</w:t>
      </w:r>
      <w:r>
        <w:t xml:space="preserve"> </w:t>
      </w:r>
      <w:r>
        <w:t xml:space="preserve">region exposing the Exploit-Lookup and PoC-Validation toggles, each annotated with a plain-language description of what it does and its safety implications; and an upload-history table with a per-row action to run the pipeline. Surfacing the two optional, potentially intrusive capabilities as clearly-labelled toggles — rather than hiding them in configuration — is a deliberate usability and safety decision.</w:t>
      </w:r>
    </w:p>
    <w:p>
      <w:pPr>
        <w:pStyle w:val="BodyText"/>
      </w:pPr>
      <w:r>
        <w:rPr>
          <w:b/>
          <w:bCs/>
        </w:rPr>
        <w:t xml:space="preserve">Auto Scan.</w:t>
      </w:r>
      <w:r>
        <w:t xml:space="preserve"> </w:t>
      </w:r>
      <w:r>
        <w:t xml:space="preserve">The Auto Scan screen (Figure 4.22) provides a target field, scanner check-boxes, and, crucially, an explicit authorisation acknowledgement that must be ticked before a scan can start. This gate is the interface-level expression of the responsible-operation principle.</w:t>
      </w:r>
    </w:p>
    <w:p>
      <w:pPr>
        <w:pStyle w:val="BodyText"/>
      </w:pPr>
      <w:r>
        <w:rPr>
          <w:b/>
          <w:bCs/>
        </w:rPr>
        <w:t xml:space="preserve">Findings.</w:t>
      </w:r>
      <w:r>
        <w:t xml:space="preserve"> </w:t>
      </w:r>
      <w:r>
        <w:t xml:space="preserve">The findings screen (Figure 4.23) is the analyst's primary working list: a filterable, sortable table of all normalised findings, with columns for severity, CVSS, classification, scanner, and CWE. The classification badge in each row lets the analyst immediately focus on</w:t>
      </w:r>
      <w:r>
        <w:t xml:space="preserve"> </w:t>
      </w:r>
      <w:r>
        <w:rPr>
          <w:i/>
          <w:iCs/>
        </w:rPr>
        <w:t xml:space="preserve">Confirmed</w:t>
      </w:r>
      <w:r>
        <w:t xml:space="preserve"> </w:t>
      </w:r>
      <w:r>
        <w:t xml:space="preserve">items and ignore auto-dismissed noise — the practical payoff of the whole system.</w:t>
      </w:r>
    </w:p>
    <w:p>
      <w:pPr>
        <w:pStyle w:val="BodyText"/>
      </w:pPr>
      <w:r>
        <w:rPr>
          <w:b/>
          <w:bCs/>
        </w:rPr>
        <w:t xml:space="preserve">Finding detail.</w:t>
      </w:r>
      <w:r>
        <w:t xml:space="preserve"> </w:t>
      </w:r>
      <w:r>
        <w:t xml:space="preserve">The finding-detail screen (Figure 4.24) is the deepest and most important screen. It presents, in a single scroll, the finding's identity and metadata, its classification (with an override control), the</w:t>
      </w:r>
      <w:r>
        <w:t xml:space="preserve"> </w:t>
      </w:r>
      <w:r>
        <w:rPr>
          <w:b/>
          <w:bCs/>
        </w:rPr>
        <w:t xml:space="preserve">confidence score and its full six-factor breakdown</w:t>
      </w:r>
      <w:r>
        <w:t xml:space="preserve"> </w:t>
      </w:r>
      <w:r>
        <w:t xml:space="preserve">(discussed in detail in §4.5.4), the machine-learning priority prediction, the CVSS v3 metrics, the description and recommended solution, and the proof-of-concept evidence. This screen is where the system's commitment to explainability becomes concrete.</w:t>
      </w:r>
    </w:p>
    <w:bookmarkEnd w:id="58"/>
    <w:bookmarkStart w:id="62" w:name="Xfe4b3d2a1603b4266f0d9d4011d3a335f86431b"/>
    <w:p>
      <w:pPr>
        <w:pStyle w:val="Heading3"/>
      </w:pPr>
      <w:r>
        <w:t xml:space="preserve">4.4.4 Storyboard</w:t>
      </w:r>
    </w:p>
    <w:p>
      <w:pPr>
        <w:pStyle w:val="FirstParagraph"/>
      </w:pPr>
      <w:r>
        <w:t xml:space="preserve">Figure 4.11 summarises the intended user journey through the interface, from authentication to the final report.</w:t>
      </w:r>
    </w:p>
    <w:p>
      <w:pPr>
        <w:pStyle w:val="BodyText"/>
      </w:pPr>
      <w:r>
        <w:drawing>
          <wp:inline>
            <wp:extent cx="5334000" cy="222587"/>
            <wp:effectExtent b="0" l="0" r="0" t="0"/>
            <wp:docPr descr="Figure 4.11: Storyboard — User Journey" title="" id="60" name="Picture"/>
            <a:graphic>
              <a:graphicData uri="http://schemas.openxmlformats.org/drawingml/2006/picture">
                <pic:pic>
                  <pic:nvPicPr>
                    <pic:cNvPr descr="diagrams/diagram-11.png" id="61" name="Picture"/>
                    <pic:cNvPicPr>
                      <a:picLocks noChangeArrowheads="1" noChangeAspect="1"/>
                    </pic:cNvPicPr>
                  </pic:nvPicPr>
                  <pic:blipFill>
                    <a:blip r:embed="rId59"/>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4.11: Storyboard — User Journey</w:t>
      </w:r>
    </w:p>
    <w:p>
      <w:r>
        <w:pict>
          <v:rect style="width:0;height:1.5pt" o:hralign="center" o:hrstd="t" o:hr="t"/>
        </w:pict>
      </w:r>
    </w:p>
    <w:bookmarkEnd w:id="62"/>
    <w:bookmarkEnd w:id="63"/>
    <w:bookmarkStart w:id="87" w:name="X91b3a7e34e6a6cb09e8dd74f95685ddbfe6f32d"/>
    <w:p>
      <w:pPr>
        <w:pStyle w:val="Heading2"/>
      </w:pPr>
      <w:r>
        <w:t xml:space="preserve">4.5 Execution</w:t>
      </w:r>
    </w:p>
    <w:bookmarkStart w:id="67"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4.12 shows how the three modes share the engine pipeline and the model while differing in their front end and database.</w:t>
      </w:r>
    </w:p>
    <w:p>
      <w:pPr>
        <w:pStyle w:val="BodyText"/>
      </w:pPr>
      <w:r>
        <w:drawing>
          <wp:inline>
            <wp:extent cx="5334000" cy="1436076"/>
            <wp:effectExtent b="0" l="0" r="0" t="0"/>
            <wp:docPr descr="Figure 4.12: Deployment Diagram — Three Run Modes" title="" id="65" name="Picture"/>
            <a:graphic>
              <a:graphicData uri="http://schemas.openxmlformats.org/drawingml/2006/picture">
                <pic:pic>
                  <pic:nvPicPr>
                    <pic:cNvPr descr="diagrams/diagram-12.png" id="66" name="Picture"/>
                    <pic:cNvPicPr>
                      <a:picLocks noChangeArrowheads="1" noChangeAspect="1"/>
                    </pic:cNvPicPr>
                  </pic:nvPicPr>
                  <pic:blipFill>
                    <a:blip r:embed="rId64"/>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4.12: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67"/>
    <w:bookmarkStart w:id="68" w:name="X6a8766f2d259c621c3cdcbe40bcbb0342764aef"/>
    <w:p>
      <w:pPr>
        <w:pStyle w:val="Heading3"/>
      </w:pPr>
      <w:r>
        <w:t xml:space="preserve">4.5.2 Pipeline Execution</w:t>
      </w:r>
    </w:p>
    <w:p>
      <w:pPr>
        <w:pStyle w:val="FirstParagraph"/>
      </w:pPr>
      <w:r>
        <w:t xml:space="preserve">When a report is ingested — whether by upload, by the CLI, or by an Auto Scan — the engines execute in a fixed order, each reading and writing through the ORM:</w:t>
      </w:r>
    </w:p>
    <w:p>
      <w:pPr>
        <w:pStyle w:val="SourceCode"/>
      </w:pPr>
      <w:r>
        <w:rPr>
          <w:rStyle w:val="VerbatimChar"/>
        </w:rPr>
        <w:t xml:space="preserve">normalisation → deduplication → cwe_mapper → nvd_enrichment</w:t>
      </w:r>
      <w:r>
        <w:br/>
      </w:r>
      <w:r>
        <w:rPr>
          <w:rStyle w:val="VerbatimChar"/>
        </w:rPr>
        <w:t xml:space="preserve">  → cwe_cvss_enrichment → ml/predictor → confidence_engine</w:t>
      </w:r>
      <w:r>
        <w:br/>
      </w:r>
      <w:r>
        <w:rPr>
          <w:rStyle w:val="VerbatimChar"/>
        </w:rPr>
        <w:t xml:space="preserve">  → (optional) poc_validator → report_generator</w:t>
      </w:r>
    </w:p>
    <w:p>
      <w:pPr>
        <w:pStyle w:val="FirstParagraph"/>
      </w:pPr>
      <w:r>
        <w:t xml:space="preserve">The ordering is not arbitrary; each stage depends on the outputs of the previous ones.</w:t>
      </w:r>
    </w:p>
    <w:p>
      <w:pPr>
        <w:pStyle w:val="Compact"/>
        <w:numPr>
          <w:ilvl w:val="0"/>
          <w:numId w:val="1005"/>
        </w:numPr>
      </w:pPr>
      <w:r>
        <w:rPr>
          <w:b/>
          <w:bCs/>
        </w:rPr>
        <w:t xml:space="preserve">Normalisation</w:t>
      </w:r>
      <w:r>
        <w:t xml:space="preserve"> </w:t>
      </w:r>
      <w:r>
        <w:t xml:space="preserve">unifies severities, CWE identifiers, and field names into a common shape. It also cleans the data at this single chokepoint: it drops non-informative CWE placeholders (such as</w:t>
      </w:r>
      <w:r>
        <w:t xml:space="preserve"> </w:t>
      </w:r>
      <w:r>
        <w:rPr>
          <w:rStyle w:val="VerbatimChar"/>
        </w:rPr>
        <w:t xml:space="preserve">CWE-0</w:t>
      </w:r>
      <w:r>
        <w:t xml:space="preserve">, which some scanners emit to mean "no weakness assigned") so that they do not block later mapping, and it strips HTML markup from scanner descriptions so that the interface and report display readable text.</w:t>
      </w:r>
    </w:p>
    <w:p>
      <w:pPr>
        <w:pStyle w:val="Compact"/>
        <w:numPr>
          <w:ilvl w:val="0"/>
          <w:numId w:val="1005"/>
        </w:numPr>
      </w:pPr>
      <w:r>
        <w:rPr>
          <w:b/>
          <w:bCs/>
        </w:rPr>
        <w:t xml:space="preserve">De-duplication</w:t>
      </w:r>
      <w:r>
        <w:t xml:space="preserve"> </w:t>
      </w:r>
      <w:r>
        <w:t xml:space="preserve">computes a SHA-256</w:t>
      </w:r>
      <w:r>
        <w:t xml:space="preserve"> </w:t>
      </w:r>
      <w:r>
        <w:rPr>
          <w:rStyle w:val="VerbatimChar"/>
        </w:rPr>
        <w:t xml:space="preserve">group_hash</w:t>
      </w:r>
      <w:r>
        <w:t xml:space="preserve"> </w:t>
      </w:r>
      <w:r>
        <w:t xml:space="preserve">over a finding's identifying attributes and merges duplicates. When the same issue is reported by two different scanners, the merge raises the</w:t>
      </w:r>
      <w:r>
        <w:t xml:space="preserve"> </w:t>
      </w:r>
      <w:r>
        <w:rPr>
          <w:rStyle w:val="VerbatimChar"/>
        </w:rPr>
        <w:t xml:space="preserve">scanner_count</w:t>
      </w:r>
      <w:r>
        <w:t xml:space="preserve">, which the Confidence Engine later reads as cross-tool corroboration.</w:t>
      </w:r>
    </w:p>
    <w:p>
      <w:pPr>
        <w:pStyle w:val="Compact"/>
        <w:numPr>
          <w:ilvl w:val="0"/>
          <w:numId w:val="1005"/>
        </w:numPr>
      </w:pPr>
      <w:r>
        <w:rPr>
          <w:b/>
          <w:bCs/>
        </w:rPr>
        <w:t xml:space="preserve">CWE mapping</w:t>
      </w:r>
      <w:r>
        <w:t xml:space="preserve"> </w:t>
      </w:r>
      <w:r>
        <w:t xml:space="preserve">must run before enrichment so that a weakness class is available for the vector-inference step; it fills a CWE from a curated keyword table (fifty-eight patterns) when the scanner supplied none.</w:t>
      </w:r>
    </w:p>
    <w:p>
      <w:pPr>
        <w:pStyle w:val="Compact"/>
        <w:numPr>
          <w:ilvl w:val="0"/>
          <w:numId w:val="1005"/>
        </w:numPr>
      </w:pPr>
      <w:r>
        <w:rPr>
          <w:b/>
          <w:bCs/>
        </w:rPr>
        <w:t xml:space="preserve">NVD enrichment</w:t>
      </w:r>
      <w:r>
        <w:t xml:space="preserve"> </w:t>
      </w:r>
      <w:r>
        <w:t xml:space="preserve">streams the offline NVD feeds to fill an authoritative CVSS vector and to back-fill a CWE for any finding that carries a CVE but no weakness class.</w:t>
      </w:r>
    </w:p>
    <w:p>
      <w:pPr>
        <w:pStyle w:val="Compact"/>
        <w:numPr>
          <w:ilvl w:val="0"/>
          <w:numId w:val="1005"/>
        </w:numPr>
      </w:pPr>
      <w:r>
        <w:rPr>
          <w:b/>
          <w:bCs/>
        </w:rPr>
        <w:t xml:space="preserve">CWE→CVSS enrichment</w:t>
      </w:r>
      <w:r>
        <w:t xml:space="preserve"> </w:t>
      </w:r>
      <w:r>
        <w:t xml:space="preserve">must run after CWE mapping and NVD enrichment, because it only acts on findings that still lack a vector; it derives a plausible CVSS vector from the CWE so that the ML model receives real features rather than an all-zero vector (which had previously caused it to predict "Low" for every web finding).</w:t>
      </w:r>
    </w:p>
    <w:p>
      <w:pPr>
        <w:pStyle w:val="Compact"/>
        <w:numPr>
          <w:ilvl w:val="0"/>
          <w:numId w:val="1005"/>
        </w:numPr>
      </w:pPr>
      <w:r>
        <w:rPr>
          <w:b/>
          <w:bCs/>
        </w:rPr>
        <w:t xml:space="preserve">ML prioritisation</w:t>
      </w:r>
      <w:r>
        <w:t xml:space="preserve"> </w:t>
      </w:r>
      <w:r>
        <w:t xml:space="preserve">applies the Random Forest to predict a severity band from the CVSS sub-metrics and the CWE.</w:t>
      </w:r>
    </w:p>
    <w:p>
      <w:pPr>
        <w:pStyle w:val="Compact"/>
        <w:numPr>
          <w:ilvl w:val="0"/>
          <w:numId w:val="1005"/>
        </w:numPr>
      </w:pPr>
      <w:r>
        <w:rPr>
          <w:b/>
          <w:bCs/>
        </w:rPr>
        <w:t xml:space="preserve">Confidence scoring</w:t>
      </w:r>
      <w:r>
        <w:t xml:space="preserve"> </w:t>
      </w:r>
      <w:r>
        <w:t xml:space="preserve">combines six reliability factors into a 0–100 score and a classification (§4.5.4).</w:t>
      </w:r>
    </w:p>
    <w:p>
      <w:pPr>
        <w:pStyle w:val="Compact"/>
        <w:numPr>
          <w:ilvl w:val="0"/>
          <w:numId w:val="1005"/>
        </w:numPr>
      </w:pPr>
      <w:r>
        <w:rPr>
          <w:b/>
          <w:bCs/>
        </w:rPr>
        <w:t xml:space="preserve">PoC validation</w:t>
      </w:r>
      <w:r>
        <w:t xml:space="preserve">, when requested, runs non-destructive checks against in-scope targets; a confirmed result overrides the classification to</w:t>
      </w:r>
      <w:r>
        <w:t xml:space="preserve"> </w:t>
      </w:r>
      <w:r>
        <w:rPr>
          <w:i/>
          <w:iCs/>
        </w:rPr>
        <w:t xml:space="preserve">Confirmed</w:t>
      </w:r>
      <w:r>
        <w:t xml:space="preserve">.</w:t>
      </w:r>
    </w:p>
    <w:p>
      <w:pPr>
        <w:pStyle w:val="Compact"/>
        <w:numPr>
          <w:ilvl w:val="0"/>
          <w:numId w:val="1005"/>
        </w:numPr>
      </w:pPr>
      <w:r>
        <w:rPr>
          <w:b/>
          <w:bCs/>
        </w:rPr>
        <w:t xml:space="preserve">Report generation</w:t>
      </w:r>
      <w:r>
        <w:t xml:space="preserve"> </w:t>
      </w:r>
      <w:r>
        <w:t xml:space="preserve">renders the PDF triage report.</w:t>
      </w:r>
    </w:p>
    <w:bookmarkEnd w:id="68"/>
    <w:bookmarkStart w:id="75" w:name="X1f3e8fc82b78115a362ceb7c66825d5571239e9"/>
    <w:p>
      <w:pPr>
        <w:pStyle w:val="Heading3"/>
      </w:pPr>
      <w:r>
        <w:t xml:space="preserve">4.5.3 The Machine-Learning Component</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Crucially, the model predicts the severity band from the</w:t>
      </w:r>
      <w:r>
        <w:t xml:space="preserve"> </w:t>
      </w:r>
      <w:r>
        <w:rPr>
          <w:b/>
          <w:bCs/>
        </w:rPr>
        <w:t xml:space="preserve">eight CVSS sub-metrics and the CWE only, deliberately excluding the CVSS base score</w:t>
      </w:r>
      <w:r>
        <w:t xml:space="preserve">. This exclusion prevents</w:t>
      </w:r>
      <w:r>
        <w:t xml:space="preserve"> </w:t>
      </w:r>
      <w:r>
        <w:rPr>
          <w:i/>
          <w:iCs/>
        </w:rPr>
        <w:t xml:space="preserve">target leakage</w:t>
      </w:r>
      <w:r>
        <w:t xml:space="preserve">: because the severity band is itself derived from the base score, including the score as an input would let the model trivially reproduce the answer and report a meaningless near-perfect accuracy. On a held-out set of 21,697 real records the model achieves an</w:t>
      </w:r>
      <w:r>
        <w:t xml:space="preserve"> </w:t>
      </w:r>
      <w:r>
        <w:rPr>
          <w:b/>
          <w:bCs/>
        </w:rPr>
        <w:t xml:space="preserve">accuracy of 0.9968 and a macro-averaged F1 of 0.9941</w:t>
      </w:r>
      <w:r>
        <w:t xml:space="preserve">, with all misclassifications falling on adjacent severity bands rather than being gross errors.</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of the project is not this prioritiser but the Confidence Engine described next, which predicts something CVSS cannot express — the probability that a finding is a true positive.</w:t>
      </w:r>
    </w:p>
    <w:p>
      <w:pPr>
        <w:pStyle w:val="BodyText"/>
      </w:pPr>
      <w:r>
        <w:t xml:space="preserve">Table 4.1 lists the tools and libraries used to build and run the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Tool / Library</w:t>
            </w:r>
          </w:p>
        </w:tc>
        <w:tc>
          <w:tcPr/>
          <w:p>
            <w:pPr>
              <w:pStyle w:val="Compact"/>
            </w:pPr>
            <w:r>
              <w:t xml:space="preserve">Purpose</w:t>
            </w:r>
          </w:p>
        </w:tc>
      </w:tr>
      <w:tr>
        <w:tc>
          <w:tcPr/>
          <w:p>
            <w:pPr>
              <w:pStyle w:val="Compact"/>
            </w:pPr>
            <w:r>
              <w:t xml:space="preserve">1</w:t>
            </w:r>
          </w:p>
        </w:tc>
        <w:tc>
          <w:tcPr/>
          <w:p>
            <w:pPr>
              <w:pStyle w:val="Compact"/>
            </w:pPr>
            <w:r>
              <w:t xml:space="preserve">NumPy</w:t>
            </w:r>
          </w:p>
        </w:tc>
        <w:tc>
          <w:tcPr/>
          <w:p>
            <w:pPr>
              <w:pStyle w:val="Compact"/>
            </w:pPr>
            <w:r>
              <w:t xml:space="preserve">Numerical arrays for the pure-Python Random Forest; the only dependency required at inference time.</w:t>
            </w:r>
          </w:p>
        </w:tc>
      </w:tr>
      <w:tr>
        <w:tc>
          <w:tcPr/>
          <w:p>
            <w:pPr>
              <w:pStyle w:val="Compact"/>
            </w:pPr>
            <w:r>
              <w:t xml:space="preserve">2</w:t>
            </w:r>
          </w:p>
        </w:tc>
        <w:tc>
          <w:tcPr/>
          <w:p>
            <w:pPr>
              <w:pStyle w:val="Compact"/>
            </w:pPr>
            <w:r>
              <w:t xml:space="preserve">scikit-learn</w:t>
            </w:r>
          </w:p>
        </w:tc>
        <w:tc>
          <w:tcPr/>
          <w:p>
            <w:pPr>
              <w:pStyle w:val="Compact"/>
            </w:pPr>
            <w:r>
              <w:t xml:space="preserve">Used during training only, for the stratified train/test split and evaluation utilities.</w:t>
            </w:r>
          </w:p>
        </w:tc>
      </w:tr>
      <w:tr>
        <w:tc>
          <w:tcPr/>
          <w:p>
            <w:pPr>
              <w:pStyle w:val="Compact"/>
            </w:pPr>
            <w:r>
              <w:t xml:space="preserve">3</w:t>
            </w:r>
          </w:p>
        </w:tc>
        <w:tc>
          <w:tcPr/>
          <w:p>
            <w:pPr>
              <w:pStyle w:val="Compact"/>
            </w:pPr>
            <w:r>
              <w:t xml:space="preserve">ijson</w:t>
            </w:r>
          </w:p>
        </w:tc>
        <w:tc>
          <w:tcPr/>
          <w:p>
            <w:pPr>
              <w:pStyle w:val="Compact"/>
            </w:pPr>
            <w:r>
              <w:t xml:space="preserve">Streams the compressed NVD JSON feeds with constant memory during training and enrichment.</w:t>
            </w:r>
          </w:p>
        </w:tc>
      </w:tr>
      <w:tr>
        <w:tc>
          <w:tcPr/>
          <w:p>
            <w:pPr>
              <w:pStyle w:val="Compact"/>
            </w:pPr>
            <w:r>
              <w:t xml:space="preserve">4</w:t>
            </w:r>
          </w:p>
        </w:tc>
        <w:tc>
          <w:tcPr/>
          <w:p>
            <w:pPr>
              <w:pStyle w:val="Compact"/>
            </w:pPr>
            <w:r>
              <w:t xml:space="preserve">NVD JSON 2.0 feeds</w:t>
            </w:r>
          </w:p>
        </w:tc>
        <w:tc>
          <w:tcPr/>
          <w:p>
            <w:pPr>
              <w:pStyle w:val="Compact"/>
            </w:pPr>
            <w:r>
              <w:t xml:space="preserve">The 108,495-record real-world training corpus (CVSS-v3 vectors + CWE, for 2023–2025).</w:t>
            </w:r>
          </w:p>
        </w:tc>
      </w:tr>
    </w:tbl>
    <w:p>
      <w:pPr>
        <w:pStyle w:val="BodyText"/>
      </w:pPr>
      <w:r>
        <w:rPr>
          <w:b/>
          <w:bCs/>
        </w:rPr>
        <w:t xml:space="preserve">Table 4.1: Machine-Learning Component — Tools and Libraries</w:t>
      </w:r>
    </w:p>
    <w:p>
      <w:pPr>
        <w:pStyle w:val="BodyText"/>
      </w:pPr>
      <w:r>
        <w:rPr>
          <w:b/>
          <w:bCs/>
        </w:rPr>
        <w:t xml:space="preserve">Feature definition and the anti-leakage decision.</w:t>
      </w:r>
      <w:r>
        <w:t xml:space="preserve"> </w:t>
      </w:r>
      <w:r>
        <w:t xml:space="preserve">The single most important design decision in the model concerns</w:t>
      </w:r>
      <w:r>
        <w:t xml:space="preserve"> </w:t>
      </w:r>
      <w:r>
        <w:rPr>
          <w:i/>
          <w:iCs/>
        </w:rPr>
        <w:t xml:space="preserve">which inputs it is permitted to see</w:t>
      </w:r>
      <w:r>
        <w:t xml:space="preserve">. Figure 4.13 shows the feature definition in</w:t>
      </w:r>
      <w:r>
        <w:t xml:space="preserve"> </w:t>
      </w:r>
      <w:r>
        <w:rPr>
          <w:rStyle w:val="VerbatimChar"/>
        </w:rPr>
        <w:t xml:space="preserve">predictor.py</w:t>
      </w:r>
      <w:r>
        <w:t xml:space="preserve">. The model is given the eight CVSS v3 sub-metrics (attack vector, attack complexity, privileges required, user interaction, scope, and the three impact metrics) together with the numeric CWE identifier — nine features in total — but it is deliberately</w:t>
      </w:r>
      <w:r>
        <w:t xml:space="preserve"> </w:t>
      </w:r>
      <w:r>
        <w:rPr>
          <w:i/>
          <w:iCs/>
        </w:rPr>
        <w:t xml:space="preserve">not</w:t>
      </w:r>
      <w:r>
        <w:t xml:space="preserve"> </w:t>
      </w:r>
      <w:r>
        <w:t xml:space="preserve">given the CVSS base score. The inline comment records the reason: because the training label (the severity band) is itself derived from the base score, feeding the score back in as an input would constitute</w:t>
      </w:r>
      <w:r>
        <w:t xml:space="preserve"> </w:t>
      </w:r>
      <w:r>
        <w:rPr>
          <w:i/>
          <w:iCs/>
        </w:rPr>
        <w:t xml:space="preserve">target leakage</w:t>
      </w:r>
      <w:r>
        <w:t xml:space="preserve"> </w:t>
      </w:r>
      <w:r>
        <w:t xml:space="preserve">and would let the model trivially reproduce the label, yielding a meaningless near-perfect accuracy. Excluding it forces the model to learn the relationship between the underlying vector components and the severity band, which is the genuine learning task.</w:t>
      </w:r>
    </w:p>
    <w:p>
      <w:pPr>
        <w:pStyle w:val="BodyText"/>
      </w:pPr>
      <w:r>
        <w:drawing>
          <wp:inline>
            <wp:extent cx="5334000" cy="1942011"/>
            <wp:effectExtent b="0" l="0" r="0" t="0"/>
            <wp:docPr descr="Feature definition excluding the CVSS base score" title="" id="70" name="Picture"/>
            <a:graphic>
              <a:graphicData uri="http://schemas.openxmlformats.org/drawingml/2006/picture">
                <pic:pic>
                  <pic:nvPicPr>
                    <pic:cNvPr descr="images/code-ml-features.png" id="71" name="Picture"/>
                    <pic:cNvPicPr>
                      <a:picLocks noChangeArrowheads="1" noChangeAspect="1"/>
                    </pic:cNvPicPr>
                  </pic:nvPicPr>
                  <pic:blipFill>
                    <a:blip r:embed="rId69"/>
                    <a:stretch>
                      <a:fillRect/>
                    </a:stretch>
                  </pic:blipFill>
                  <pic:spPr bwMode="auto">
                    <a:xfrm>
                      <a:off x="0" y="0"/>
                      <a:ext cx="5334000" cy="1942011"/>
                    </a:xfrm>
                    <a:prstGeom prst="rect">
                      <a:avLst/>
                    </a:prstGeom>
                    <a:noFill/>
                    <a:ln w="9525">
                      <a:noFill/>
                      <a:headEnd/>
                      <a:tailEnd/>
                    </a:ln>
                  </pic:spPr>
                </pic:pic>
              </a:graphicData>
            </a:graphic>
          </wp:inline>
        </w:drawing>
      </w:r>
    </w:p>
    <w:p>
      <w:pPr>
        <w:pStyle w:val="BodyText"/>
      </w:pPr>
      <w:r>
        <w:rPr>
          <w:b/>
          <w:bCs/>
        </w:rPr>
        <w:t xml:space="preserve">Figure 4.13: Feature Definition (predictor.py) — the CVSS base score is deliberately excluded to prevent target leakage</w:t>
      </w:r>
    </w:p>
    <w:p>
      <w:pPr>
        <w:pStyle w:val="BodyText"/>
      </w:pPr>
      <w:r>
        <w:rPr>
          <w:b/>
          <w:bCs/>
        </w:rPr>
        <w:t xml:space="preserve">Feature extraction and inference.</w:t>
      </w:r>
      <w:r>
        <w:t xml:space="preserve"> </w:t>
      </w:r>
      <w:r>
        <w:t xml:space="preserve">Figure 4.14 shows how a stored finding is converted into a feature vector and classified. The</w:t>
      </w:r>
      <w:r>
        <w:t xml:space="preserve"> </w:t>
      </w:r>
      <w:r>
        <w:rPr>
          <w:rStyle w:val="VerbatimChar"/>
        </w:rPr>
        <w:t xml:space="preserve">_build_feature_vector</w:t>
      </w:r>
      <w:r>
        <w:t xml:space="preserve"> </w:t>
      </w:r>
      <w:r>
        <w:t xml:space="preserve">method encodes each categorical CVSS sub-metric into an integer using a fixed mapping and extracts the numeric part of the CWE identifier; if the structured CWE is missing, it falls back to a keyword lookup on the finding's title and description, so that even a bare web finding yields usable features rather than an all-zero vector. The</w:t>
      </w:r>
      <w:r>
        <w:t xml:space="preserve"> </w:t>
      </w:r>
      <w:r>
        <w:rPr>
          <w:rStyle w:val="VerbatimChar"/>
        </w:rPr>
        <w:t xml:space="preserve">predict_finding</w:t>
      </w:r>
      <w:r>
        <w:t xml:space="preserve"> </w:t>
      </w:r>
      <w:r>
        <w:t xml:space="preserve">method then loads the serialised model once, wraps the feature vector in a NumPy array, and calls the forest's</w:t>
      </w:r>
      <w:r>
        <w:t xml:space="preserve"> </w:t>
      </w:r>
      <w:r>
        <w:rPr>
          <w:rStyle w:val="VerbatimChar"/>
        </w:rPr>
        <w:t xml:space="preserve">predict</w:t>
      </w:r>
      <w:r>
        <w:t xml:space="preserve"> </w:t>
      </w:r>
      <w:r>
        <w:t xml:space="preserve">and</w:t>
      </w:r>
      <w:r>
        <w:t xml:space="preserve"> </w:t>
      </w:r>
      <w:r>
        <w:rPr>
          <w:rStyle w:val="VerbatimChar"/>
        </w:rPr>
        <w:t xml:space="preserve">predict_proba</w:t>
      </w:r>
      <w:r>
        <w:t xml:space="preserve"> </w:t>
      </w:r>
      <w:r>
        <w:t xml:space="preserve">methods to obtain both the predicted severity band and the per-class probabilities. The probabilities are persisted alongside the prediction so that the interface can display the model's confidence in each band, as seen in the "ML Priority Prediction" panel of the finding-detail screen (Figure 4.24).</w:t>
      </w:r>
    </w:p>
    <w:p>
      <w:pPr>
        <w:pStyle w:val="BodyText"/>
      </w:pPr>
      <w:r>
        <w:drawing>
          <wp:inline>
            <wp:extent cx="5334000" cy="4375870"/>
            <wp:effectExtent b="0" l="0" r="0" t="0"/>
            <wp:docPr descr="Feature extraction and prediction" title="" id="73" name="Picture"/>
            <a:graphic>
              <a:graphicData uri="http://schemas.openxmlformats.org/drawingml/2006/picture">
                <pic:pic>
                  <pic:nvPicPr>
                    <pic:cNvPr descr="images/code-ml-inference.png" id="74" name="Picture"/>
                    <pic:cNvPicPr>
                      <a:picLocks noChangeArrowheads="1" noChangeAspect="1"/>
                    </pic:cNvPicPr>
                  </pic:nvPicPr>
                  <pic:blipFill>
                    <a:blip r:embed="rId72"/>
                    <a:stretch>
                      <a:fillRect/>
                    </a:stretch>
                  </pic:blipFill>
                  <pic:spPr bwMode="auto">
                    <a:xfrm>
                      <a:off x="0" y="0"/>
                      <a:ext cx="5334000" cy="4375870"/>
                    </a:xfrm>
                    <a:prstGeom prst="rect">
                      <a:avLst/>
                    </a:prstGeom>
                    <a:noFill/>
                    <a:ln w="9525">
                      <a:noFill/>
                      <a:headEnd/>
                      <a:tailEnd/>
                    </a:ln>
                  </pic:spPr>
                </pic:pic>
              </a:graphicData>
            </a:graphic>
          </wp:inline>
        </w:drawing>
      </w:r>
    </w:p>
    <w:p>
      <w:pPr>
        <w:pStyle w:val="BodyText"/>
      </w:pPr>
      <w:r>
        <w:rPr>
          <w:b/>
          <w:bCs/>
        </w:rPr>
        <w:t xml:space="preserve">Figure 4.14: Feature Extraction and Prediction (predictor.py)</w:t>
      </w:r>
    </w:p>
    <w:bookmarkEnd w:id="75"/>
    <w:bookmarkStart w:id="85" w:name="X41ec9e93018ee17147604b600ccaf079d47cba3"/>
    <w:p>
      <w:pPr>
        <w:pStyle w:val="Heading3"/>
      </w:pPr>
      <w:r>
        <w:t xml:space="preserve">4.5.4 Confidence Scoring in Detail</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Table 4.2 lists the factors, their weights, and what each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jc w:val="center"/>
            </w:pPr>
            <w:r>
              <w:t xml:space="preserve">Weight</w:t>
            </w:r>
          </w:p>
        </w:tc>
        <w:tc>
          <w:tcPr/>
          <w:p>
            <w:pPr>
              <w:pStyle w:val="Compact"/>
            </w:pPr>
            <w:r>
              <w:t xml:space="preserve">What it measures</w:t>
            </w:r>
          </w:p>
        </w:tc>
      </w:tr>
      <w:tr>
        <w:tc>
          <w:tcPr/>
          <w:p>
            <w:pPr>
              <w:pStyle w:val="Compact"/>
            </w:pPr>
            <w:r>
              <w:t xml:space="preserve">Scanner agreement</w:t>
            </w:r>
          </w:p>
        </w:tc>
        <w:tc>
          <w:tcPr/>
          <w:p>
            <w:pPr>
              <w:pStyle w:val="Compact"/>
              <w:jc w:val="center"/>
            </w:pPr>
            <w:r>
              <w:t xml:space="preserve">25</w:t>
            </w:r>
          </w:p>
        </w:tc>
        <w:tc>
          <w:tcPr/>
          <w:p>
            <w:pPr>
              <w:pStyle w:val="Compact"/>
            </w:pPr>
            <w:r>
              <w:t xml:space="preserve">Independent corroboration — how many separate tools flagged the same issue.</w:t>
            </w:r>
          </w:p>
        </w:tc>
      </w:tr>
      <w:tr>
        <w:tc>
          <w:tcPr/>
          <w:p>
            <w:pPr>
              <w:pStyle w:val="Compact"/>
            </w:pPr>
            <w:r>
              <w:t xml:space="preserve">Severity consistency</w:t>
            </w:r>
          </w:p>
        </w:tc>
        <w:tc>
          <w:tcPr/>
          <w:p>
            <w:pPr>
              <w:pStyle w:val="Compact"/>
              <w:jc w:val="center"/>
            </w:pPr>
            <w:r>
              <w:t xml:space="preserve">20</w:t>
            </w:r>
          </w:p>
        </w:tc>
        <w:tc>
          <w:tcPr/>
          <w:p>
            <w:pPr>
              <w:pStyle w:val="Compact"/>
            </w:pPr>
            <w:r>
              <w:t xml:space="preserve">Whether the ML-predicted severity agrees with the scanner's reported severity.</w:t>
            </w:r>
          </w:p>
        </w:tc>
      </w:tr>
      <w:tr>
        <w:tc>
          <w:tcPr/>
          <w:p>
            <w:pPr>
              <w:pStyle w:val="Compact"/>
            </w:pPr>
            <w:r>
              <w:t xml:space="preserve">CVE availability</w:t>
            </w:r>
          </w:p>
        </w:tc>
        <w:tc>
          <w:tcPr/>
          <w:p>
            <w:pPr>
              <w:pStyle w:val="Compact"/>
              <w:jc w:val="center"/>
            </w:pPr>
            <w:r>
              <w:t xml:space="preserve">15</w:t>
            </w:r>
          </w:p>
        </w:tc>
        <w:tc>
          <w:tcPr/>
          <w:p>
            <w:pPr>
              <w:pStyle w:val="Compact"/>
            </w:pPr>
            <w:r>
              <w:t xml:space="preserve">Whether the finding maps to a catalogued CVE.</w:t>
            </w:r>
          </w:p>
        </w:tc>
      </w:tr>
      <w:tr>
        <w:tc>
          <w:tcPr/>
          <w:p>
            <w:pPr>
              <w:pStyle w:val="Compact"/>
            </w:pPr>
            <w:r>
              <w:t xml:space="preserve">Exploit availability</w:t>
            </w:r>
          </w:p>
        </w:tc>
        <w:tc>
          <w:tcPr/>
          <w:p>
            <w:pPr>
              <w:pStyle w:val="Compact"/>
              <w:jc w:val="center"/>
            </w:pPr>
            <w:r>
              <w:t xml:space="preserve">15</w:t>
            </w:r>
          </w:p>
        </w:tc>
        <w:tc>
          <w:tcPr/>
          <w:p>
            <w:pPr>
              <w:pStyle w:val="Compact"/>
            </w:pPr>
            <w:r>
              <w:t xml:space="preserve">Whether a public exploit exists for the issue (via Exploit-DB).</w:t>
            </w:r>
          </w:p>
        </w:tc>
      </w:tr>
      <w:tr>
        <w:tc>
          <w:tcPr/>
          <w:p>
            <w:pPr>
              <w:pStyle w:val="Compact"/>
            </w:pPr>
            <w:r>
              <w:t xml:space="preserve">PoC validation</w:t>
            </w:r>
          </w:p>
        </w:tc>
        <w:tc>
          <w:tcPr/>
          <w:p>
            <w:pPr>
              <w:pStyle w:val="Compact"/>
              <w:jc w:val="center"/>
            </w:pPr>
            <w:r>
              <w:t xml:space="preserve">15</w:t>
            </w:r>
          </w:p>
        </w:tc>
        <w:tc>
          <w:tcPr/>
          <w:p>
            <w:pPr>
              <w:pStyle w:val="Compact"/>
            </w:pPr>
            <w:r>
              <w:t xml:space="preserve">Whether an active, non-destructive check confirmed the issue.</w:t>
            </w:r>
          </w:p>
        </w:tc>
      </w:tr>
      <w:tr>
        <w:tc>
          <w:tcPr/>
          <w:p>
            <w:pPr>
              <w:pStyle w:val="Compact"/>
            </w:pPr>
            <w:r>
              <w:t xml:space="preserve">CWE mapping</w:t>
            </w:r>
          </w:p>
        </w:tc>
        <w:tc>
          <w:tcPr/>
          <w:p>
            <w:pPr>
              <w:pStyle w:val="Compact"/>
              <w:jc w:val="center"/>
            </w:pPr>
            <w:r>
              <w:t xml:space="preserve">10</w:t>
            </w:r>
          </w:p>
        </w:tc>
        <w:tc>
          <w:tcPr/>
          <w:p>
            <w:pPr>
              <w:pStyle w:val="Compact"/>
            </w:pPr>
            <w:r>
              <w:t xml:space="preserve">Whether the finding has a recognised weakness class.</w:t>
            </w:r>
          </w:p>
        </w:tc>
      </w:tr>
    </w:tbl>
    <w:p>
      <w:pPr>
        <w:pStyle w:val="BodyText"/>
      </w:pPr>
      <w:r>
        <w:rPr>
          <w:b/>
          <w:bCs/>
        </w:rPr>
        <w:t xml:space="preserve">Table 4.2: Confidence Engine — Factors and Weights</w:t>
      </w:r>
    </w:p>
    <w:p>
      <w:pPr>
        <w:pStyle w:val="BodyText"/>
      </w:pPr>
      <w:r>
        <w:t xml:space="preserve">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rPr>
          <w:b/>
          <w:bCs/>
        </w:rPr>
        <w:t xml:space="preserve">The scoring computation.</w:t>
      </w:r>
      <w:r>
        <w:t xml:space="preserve"> </w:t>
      </w:r>
      <w:r>
        <w:t xml:space="preserve">Figure 4.15 shows the core of the scoring method. Each factor returns a raw score in the range 0–100; the total is the weighted sum of those raw scores (each divided by 100 and multiplied by its weight), capped to the 0–100 range. Two overrides then apply. First, if any</w:t>
      </w:r>
      <w:r>
        <w:t xml:space="preserve"> </w:t>
      </w:r>
      <w:r>
        <w:rPr>
          <w:i/>
          <w:iCs/>
        </w:rPr>
        <w:t xml:space="preserve">strong, vulnerability-specific</w:t>
      </w:r>
      <w:r>
        <w:t xml:space="preserve"> </w:t>
      </w:r>
      <w:r>
        <w:t xml:space="preserve">proof-of-concept check confirmed the finding, the classification is forced to</w:t>
      </w:r>
      <w:r>
        <w:t xml:space="preserve"> </w:t>
      </w:r>
      <w:r>
        <w:rPr>
          <w:i/>
          <w:iCs/>
        </w:rPr>
        <w:t xml:space="preserve">Confirmed</w:t>
      </w:r>
      <w:r>
        <w:t xml:space="preserve"> </w:t>
      </w:r>
      <w:r>
        <w:t xml:space="preserve">and the score is rescaled into the 70–100 band — but note the deliberate restriction to strong, type-matched check types, so that a generic input reflection or a server-banner match cannot spuriously confirm a finding. Second, a scanner-rated</w:t>
      </w:r>
      <w:r>
        <w:t xml:space="preserve"> </w:t>
      </w:r>
      <w:r>
        <w:rPr>
          <w:i/>
          <w:iCs/>
        </w:rPr>
        <w:t xml:space="preserve">informational</w:t>
      </w:r>
      <w:r>
        <w:t xml:space="preserve"> </w:t>
      </w:r>
      <w:r>
        <w:t xml:space="preserve">finding is bucketed as "Informational" rather than being given a true-or-false verdict, because such findings (technology or version detection) are not vulnerabilities to confirm or deny. Otherwise the numeric score is mapped to a classification by the threshold function.</w:t>
      </w:r>
    </w:p>
    <w:p>
      <w:pPr>
        <w:pStyle w:val="BodyText"/>
      </w:pPr>
      <w:r>
        <w:drawing>
          <wp:inline>
            <wp:extent cx="5334000" cy="3604666"/>
            <wp:effectExtent b="0" l="0" r="0" t="0"/>
            <wp:docPr descr="Weighted scoring, PoC override, and classification" title="" id="77" name="Picture"/>
            <a:graphic>
              <a:graphicData uri="http://schemas.openxmlformats.org/drawingml/2006/picture">
                <pic:pic>
                  <pic:nvPicPr>
                    <pic:cNvPr descr="images/code-confidence-score.png" id="78" name="Picture"/>
                    <pic:cNvPicPr>
                      <a:picLocks noChangeArrowheads="1" noChangeAspect="1"/>
                    </pic:cNvPicPr>
                  </pic:nvPicPr>
                  <pic:blipFill>
                    <a:blip r:embed="rId76"/>
                    <a:stretch>
                      <a:fillRect/>
                    </a:stretch>
                  </pic:blipFill>
                  <pic:spPr bwMode="auto">
                    <a:xfrm>
                      <a:off x="0" y="0"/>
                      <a:ext cx="5334000" cy="3604666"/>
                    </a:xfrm>
                    <a:prstGeom prst="rect">
                      <a:avLst/>
                    </a:prstGeom>
                    <a:noFill/>
                    <a:ln w="9525">
                      <a:noFill/>
                      <a:headEnd/>
                      <a:tailEnd/>
                    </a:ln>
                  </pic:spPr>
                </pic:pic>
              </a:graphicData>
            </a:graphic>
          </wp:inline>
        </w:drawing>
      </w:r>
    </w:p>
    <w:p>
      <w:pPr>
        <w:pStyle w:val="BodyText"/>
      </w:pPr>
      <w:r>
        <w:rPr>
          <w:b/>
          <w:bCs/>
        </w:rPr>
        <w:t xml:space="preserve">Figure 4.15: Confidence Scoring — Weights, Weighted Sum, and Overrides (confidence_engine.py)</w:t>
      </w:r>
    </w:p>
    <w:p>
      <w:pPr>
        <w:pStyle w:val="BodyText"/>
      </w:pPr>
      <w:r>
        <w:rPr>
          <w:b/>
          <w:bCs/>
        </w:rPr>
        <w:t xml:space="preserve">How individual factors are computed.</w:t>
      </w:r>
      <w:r>
        <w:t xml:space="preserve"> </w:t>
      </w:r>
      <w:r>
        <w:t xml:space="preserve">Figure 4.16 shows two representative factor methods together with the classification-threshold function. The scanner-agreement factor scales with the number of corroborating scanners — a single scanner scores partially, whereas two or more score highly — and it returns a human-readable</w:t>
      </w:r>
      <w:r>
        <w:t xml:space="preserve"> </w:t>
      </w:r>
      <w:r>
        <w:rPr>
          <w:i/>
          <w:iCs/>
        </w:rPr>
        <w:t xml:space="preserve">reason</w:t>
      </w:r>
      <w:r>
        <w:t xml:space="preserve"> </w:t>
      </w:r>
      <w:r>
        <w:t xml:space="preserve">string that becomes part of the finding's rationale. The CVE-availability factor is binary on the presence of a catalogued CVE. The</w:t>
      </w:r>
      <w:r>
        <w:t xml:space="preserve"> </w:t>
      </w:r>
      <w:r>
        <w:rPr>
          <w:rStyle w:val="VerbatimChar"/>
        </w:rPr>
        <w:t xml:space="preserve">_classify</w:t>
      </w:r>
      <w:r>
        <w:t xml:space="preserve"> </w:t>
      </w:r>
      <w:r>
        <w:t xml:space="preserve">function applies the fixed thresholds — 70 and 40 — that separate</w:t>
      </w:r>
      <w:r>
        <w:t xml:space="preserve"> </w:t>
      </w:r>
      <w:r>
        <w:rPr>
          <w:i/>
          <w:iCs/>
        </w:rPr>
        <w:t xml:space="preserve">Confirmed</w:t>
      </w:r>
      <w:r>
        <w:t xml:space="preserve">,</w:t>
      </w:r>
      <w:r>
        <w:t xml:space="preserve"> </w:t>
      </w:r>
      <w:r>
        <w:rPr>
          <w:i/>
          <w:iCs/>
        </w:rPr>
        <w:t xml:space="preserve">Needs Manual Verification</w:t>
      </w:r>
      <w:r>
        <w:t xml:space="preserve">, and</w:t>
      </w:r>
      <w:r>
        <w:t xml:space="preserve"> </w:t>
      </w:r>
      <w:r>
        <w:rPr>
          <w:i/>
          <w:iCs/>
        </w:rPr>
        <w:t xml:space="preserve">Not Confirmed</w:t>
      </w:r>
      <w:r>
        <w:t xml:space="preserve">. Because every factor returns both a raw score and a reason, the final verdict is fully explainable rather than a black-box number.</w:t>
      </w:r>
    </w:p>
    <w:p>
      <w:pPr>
        <w:pStyle w:val="BodyText"/>
      </w:pPr>
      <w:r>
        <w:drawing>
          <wp:inline>
            <wp:extent cx="5334000" cy="3200400"/>
            <wp:effectExtent b="0" l="0" r="0" t="0"/>
            <wp:docPr descr="Example factor computations and the classification thresholds" title="" id="80" name="Picture"/>
            <a:graphic>
              <a:graphicData uri="http://schemas.openxmlformats.org/drawingml/2006/picture">
                <pic:pic>
                  <pic:nvPicPr>
                    <pic:cNvPr descr="images/code-confidence-factor.png" id="81" name="Picture"/>
                    <pic:cNvPicPr>
                      <a:picLocks noChangeArrowheads="1" noChangeAspect="1"/>
                    </pic:cNvPicPr>
                  </pic:nvPicPr>
                  <pic:blipFill>
                    <a:blip r:embed="rId7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4.16: Example Factor Computations and Classification Thresholds (confidence_engine.py)</w:t>
      </w:r>
    </w:p>
    <w:p>
      <w:pPr>
        <w:pStyle w:val="BodyText"/>
      </w:pPr>
      <w:r>
        <w:rPr>
          <w:b/>
          <w:bCs/>
        </w:rPr>
        <w:t xml:space="preserve">A worked example.</w:t>
      </w:r>
      <w:r>
        <w:t xml:space="preserve"> </w:t>
      </w:r>
      <w:r>
        <w:t xml:space="preserve">Figure 4.17 shows the confidence panel from the interface for a confirmed SQL-injection finding, which makes the computation concrete.</w:t>
      </w:r>
    </w:p>
    <w:p>
      <w:pPr>
        <w:pStyle w:val="BodyText"/>
      </w:pPr>
      <w:r>
        <w:drawing>
          <wp:inline>
            <wp:extent cx="5334000" cy="3036093"/>
            <wp:effectExtent b="0" l="0" r="0" t="0"/>
            <wp:docPr descr="Confidence-score breakdown panel" title="" id="83" name="Picture"/>
            <a:graphic>
              <a:graphicData uri="http://schemas.openxmlformats.org/drawingml/2006/picture">
                <pic:pic>
                  <pic:nvPicPr>
                    <pic:cNvPr descr="images/11-confidence-panel.png" id="84" name="Picture"/>
                    <pic:cNvPicPr>
                      <a:picLocks noChangeArrowheads="1" noChangeAspect="1"/>
                    </pic:cNvPicPr>
                  </pic:nvPicPr>
                  <pic:blipFill>
                    <a:blip r:embed="rId82"/>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4.17: Confidence-Score Breakdown (Finding Detail)</w:t>
      </w:r>
    </w:p>
    <w:p>
      <w:pPr>
        <w:pStyle w:val="BodyText"/>
      </w:pPr>
      <w:r>
        <w:t xml:space="preserve">Reading the panel,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line explains that a proof-of-concept check actively confirmed the vulnerability, which forced the</w:t>
      </w:r>
      <w:r>
        <w:t xml:space="preserve"> </w:t>
      </w:r>
      <w:r>
        <w:rPr>
          <w:i/>
          <w:iCs/>
        </w:rPr>
        <w:t xml:space="preserve">Confirmed</w:t>
      </w:r>
      <w:r>
        <w:t xml:space="preserve"> </w:t>
      </w:r>
      <w:r>
        <w:t xml:space="preserve">classification and scaled the score into the 70–100 band. Below the rationale, each of the six factors is shown with its individual contribution and weight: the CWE-mapping factor contributes its full amount because the finding is classified as CWE-89; the PoC-validation factor contributes because one of the controlled checks confirmed; the scanner-agreement factor contributes a partial amount because only one scanner reported the issue; and the severity-consistency factor contributes because the machine-learning priority is close to the scanner's severity. The CVE- and exploit-availability factors contribute nothing here, because this web finding carries no CVE and no known public exploit. This per-factor transparency is exactly what allows an analyst to trust — or challenge — the automated verdict, and the same breakdown is embedded in the PDF report.</w:t>
      </w:r>
    </w:p>
    <w:p>
      <w:pPr>
        <w:pStyle w:val="BodyText"/>
      </w:pPr>
      <w:r>
        <w:t xml:space="preserve">On its curated evaluation benchmark, the Confidence Engine achieves a ROC-AUC of approximately 0.82, a precision of 1.0 for the</w:t>
      </w:r>
      <w:r>
        <w:t xml:space="preserve"> </w:t>
      </w:r>
      <w:r>
        <w:rPr>
          <w:i/>
          <w:iCs/>
        </w:rPr>
        <w:t xml:space="preserve">Confirmed</w:t>
      </w:r>
      <w:r>
        <w:t xml:space="preserve"> </w:t>
      </w:r>
      <w:r>
        <w:t xml:space="preserve">classification (it never wrongly confirmed a false positive in the benchmark), and roughly 81% suppression of false positives at the auto-dismiss threshold.</w:t>
      </w:r>
    </w:p>
    <w:bookmarkEnd w:id="85"/>
    <w:bookmarkStart w:id="86" w:name="Xaf1c0e46d15e41ac94286ca4982927ee0dd888e"/>
    <w:p>
      <w:pPr>
        <w:pStyle w:val="Heading3"/>
      </w:pPr>
      <w:r>
        <w:t xml:space="preserve">4.5.5 Report Generation</w:t>
      </w:r>
    </w:p>
    <w:p>
      <w:pPr>
        <w:pStyle w:val="FirstParagraph"/>
      </w:pPr>
      <w:r>
        <w:t xml:space="preserve">The final stage renders a professional PDF triage report suitable for handing to stakeholders. The report opens with a cover page carrying the report metadata and a severity summary (Figure 4.26), followed by an executive summary that narrates the scan and tabulates the classification and severity breakdowns (Figure 4.27), and then the per-finding detail including the confidence rationale. Because the report reads from the same normalised findings and confidence scores as the interface, the two views are always consistent.</w:t>
      </w:r>
    </w:p>
    <w:p>
      <w:r>
        <w:pict>
          <v:rect style="width:0;height:1.5pt" o:hralign="center" o:hrstd="t" o:hr="t"/>
        </w:pict>
      </w:r>
    </w:p>
    <w:bookmarkEnd w:id="86"/>
    <w:bookmarkEnd w:id="87"/>
    <w:bookmarkStart w:id="127"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91" w:name="X831bf8cb68fb81f8f88eb045a3d2ee1390654c7"/>
    <w:p>
      <w:pPr>
        <w:pStyle w:val="Heading3"/>
      </w:pPr>
      <w:r>
        <w:t xml:space="preserve">4.6.1 Login</w:t>
      </w:r>
    </w:p>
    <w:p>
      <w:pPr>
        <w:pStyle w:val="FirstParagraph"/>
      </w:pPr>
      <w:r>
        <w:drawing>
          <wp:inline>
            <wp:extent cx="5334000" cy="3189287"/>
            <wp:effectExtent b="0" l="0" r="0" t="0"/>
            <wp:docPr descr="Login screen" title="" id="89" name="Picture"/>
            <a:graphic>
              <a:graphicData uri="http://schemas.openxmlformats.org/drawingml/2006/picture">
                <pic:pic>
                  <pic:nvPicPr>
                    <pic:cNvPr descr="images/01-login.png" id="90" name="Picture"/>
                    <pic:cNvPicPr>
                      <a:picLocks noChangeArrowheads="1" noChangeAspect="1"/>
                    </pic:cNvPicPr>
                  </pic:nvPicPr>
                  <pic:blipFill>
                    <a:blip r:embed="rId8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4.18: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91"/>
    <w:bookmarkStart w:id="95"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93" name="Picture"/>
            <a:graphic>
              <a:graphicData uri="http://schemas.openxmlformats.org/drawingml/2006/picture">
                <pic:pic>
                  <pic:nvPicPr>
                    <pic:cNvPr descr="images/02-register.png" id="94" name="Picture"/>
                    <pic:cNvPicPr>
                      <a:picLocks noChangeArrowheads="1" noChangeAspect="1"/>
                    </pic:cNvPicPr>
                  </pic:nvPicPr>
                  <pic:blipFill>
                    <a:blip r:embed="rId9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4.19: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95"/>
    <w:bookmarkStart w:id="99" w:name="Xc736af9b4f661537cca52631185f21e222e4ab8"/>
    <w:p>
      <w:pPr>
        <w:pStyle w:val="Heading3"/>
      </w:pPr>
      <w:r>
        <w:t xml:space="preserve">4.6.3 Dashboard</w:t>
      </w:r>
    </w:p>
    <w:p>
      <w:pPr>
        <w:pStyle w:val="FirstParagraph"/>
      </w:pPr>
      <w:r>
        <w:drawing>
          <wp:inline>
            <wp:extent cx="5334000" cy="4663545"/>
            <wp:effectExtent b="0" l="0" r="0" t="0"/>
            <wp:docPr descr="Dashboard" title="" id="97" name="Picture"/>
            <a:graphic>
              <a:graphicData uri="http://schemas.openxmlformats.org/drawingml/2006/picture">
                <pic:pic>
                  <pic:nvPicPr>
                    <pic:cNvPr descr="images/03-dashboard.png" id="98" name="Picture"/>
                    <pic:cNvPicPr>
                      <a:picLocks noChangeArrowheads="1" noChangeAspect="1"/>
                    </pic:cNvPicPr>
                  </pic:nvPicPr>
                  <pic:blipFill>
                    <a:blip r:embed="rId96"/>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4.20: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99"/>
    <w:bookmarkStart w:id="103"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101" name="Picture"/>
            <a:graphic>
              <a:graphicData uri="http://schemas.openxmlformats.org/drawingml/2006/picture">
                <pic:pic>
                  <pic:nvPicPr>
                    <pic:cNvPr descr="images/04-upload.png" id="102" name="Picture"/>
                    <pic:cNvPicPr>
                      <a:picLocks noChangeArrowheads="1" noChangeAspect="1"/>
                    </pic:cNvPicPr>
                  </pic:nvPicPr>
                  <pic:blipFill>
                    <a:blip r:embed="rId10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4.21: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103"/>
    <w:bookmarkStart w:id="107"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105" name="Picture"/>
            <a:graphic>
              <a:graphicData uri="http://schemas.openxmlformats.org/drawingml/2006/picture">
                <pic:pic>
                  <pic:nvPicPr>
                    <pic:cNvPr descr="images/05-autoscan.png" id="106" name="Picture"/>
                    <pic:cNvPicPr>
                      <a:picLocks noChangeArrowheads="1" noChangeAspect="1"/>
                    </pic:cNvPicPr>
                  </pic:nvPicPr>
                  <pic:blipFill>
                    <a:blip r:embed="rId10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4.22: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107"/>
    <w:bookmarkStart w:id="111" w:name="X82b1df9bde87e06f2113dd04155c164935be6fa"/>
    <w:p>
      <w:pPr>
        <w:pStyle w:val="Heading3"/>
      </w:pPr>
      <w:r>
        <w:t xml:space="preserve">4.6.6 Findings</w:t>
      </w:r>
    </w:p>
    <w:p>
      <w:pPr>
        <w:pStyle w:val="FirstParagraph"/>
      </w:pPr>
      <w:r>
        <w:drawing>
          <wp:inline>
            <wp:extent cx="5334000" cy="4911725"/>
            <wp:effectExtent b="0" l="0" r="0" t="0"/>
            <wp:docPr descr="Findings list" title="" id="109" name="Picture"/>
            <a:graphic>
              <a:graphicData uri="http://schemas.openxmlformats.org/drawingml/2006/picture">
                <pic:pic>
                  <pic:nvPicPr>
                    <pic:cNvPr descr="images/06-findings.png" id="110" name="Picture"/>
                    <pic:cNvPicPr>
                      <a:picLocks noChangeArrowheads="1" noChangeAspect="1"/>
                    </pic:cNvPicPr>
                  </pic:nvPicPr>
                  <pic:blipFill>
                    <a:blip r:embed="rId108"/>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4.23: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111"/>
    <w:bookmarkStart w:id="115"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13" name="Picture"/>
            <a:graphic>
              <a:graphicData uri="http://schemas.openxmlformats.org/drawingml/2006/picture">
                <pic:pic>
                  <pic:nvPicPr>
                    <pic:cNvPr descr="images/07-finding-detail.png" id="114" name="Picture"/>
                    <pic:cNvPicPr>
                      <a:picLocks noChangeArrowheads="1" noChangeAspect="1"/>
                    </pic:cNvPicPr>
                  </pic:nvPicPr>
                  <pic:blipFill>
                    <a:blip r:embed="rId112"/>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4.24: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4.17.)</w:t>
      </w:r>
    </w:p>
    <w:bookmarkEnd w:id="115"/>
    <w:bookmarkStart w:id="119"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17" name="Picture"/>
            <a:graphic>
              <a:graphicData uri="http://schemas.openxmlformats.org/drawingml/2006/picture">
                <pic:pic>
                  <pic:nvPicPr>
                    <pic:cNvPr descr="images/08-reports.png" id="118" name="Picture"/>
                    <pic:cNvPicPr>
                      <a:picLocks noChangeArrowheads="1" noChangeAspect="1"/>
                    </pic:cNvPicPr>
                  </pic:nvPicPr>
                  <pic:blipFill>
                    <a:blip r:embed="rId11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4.25: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19"/>
    <w:bookmarkStart w:id="126"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21" name="Picture"/>
            <a:graphic>
              <a:graphicData uri="http://schemas.openxmlformats.org/drawingml/2006/picture">
                <pic:pic>
                  <pic:nvPicPr>
                    <pic:cNvPr descr="images/09-report-cover.png" id="122" name="Picture"/>
                    <pic:cNvPicPr>
                      <a:picLocks noChangeArrowheads="1" noChangeAspect="1"/>
                    </pic:cNvPicPr>
                  </pic:nvPicPr>
                  <pic:blipFill>
                    <a:blip r:embed="rId120"/>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4.26: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24" name="Picture"/>
            <a:graphic>
              <a:graphicData uri="http://schemas.openxmlformats.org/drawingml/2006/picture">
                <pic:pic>
                  <pic:nvPicPr>
                    <pic:cNvPr descr="images/10-report-summary.png" id="125" name="Picture"/>
                    <pic:cNvPicPr>
                      <a:picLocks noChangeArrowheads="1" noChangeAspect="1"/>
                    </pic:cNvPicPr>
                  </pic:nvPicPr>
                  <pic:blipFill>
                    <a:blip r:embed="rId123"/>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4.27: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26"/>
    <w:bookmarkEnd w:id="127"/>
    <w:bookmarkStart w:id="128"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detailed the ordered engine pipeline, and examined the two most important pieces of the implementation at the source-code level — the machine-learning component (with its anti-leakage feature design and its inference code) and the Confidence Engine (with its weighted-scoring code, its factor computations, and a worked example from the interface). Section 4.6 presented eleven annotated screenshots of the finished product — including the exported PDF report — with a justification for each. In total the chapter contains twelve diagrams, four annotated code figures, eleven application screenshots, and two component tables.</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2026-07-13T10:28:54Z</dcterms:created>
  <dcterms:modified xsi:type="dcterms:W3CDTF">2026-07-13T10:28:54Z</dcterms:modified>
</cp:coreProperties>
</file>

<file path=docProps/custom.xml><?xml version="1.0" encoding="utf-8"?>
<Properties xmlns="http://schemas.openxmlformats.org/officeDocument/2006/custom-properties" xmlns:vt="http://schemas.openxmlformats.org/officeDocument/2006/docPropsVTypes"/>
</file>