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extended with a quantitative evaluation of the machine-learning model and a live end-to-end verification of the whole pipeline. It answers the question</w:t>
      </w:r>
      <w:r>
        <w:t xml:space="preserve"> </w:t>
      </w:r>
      <w:r>
        <w:rPr>
          <w:i/>
          <w:iCs/>
        </w:rPr>
        <w:t xml:space="preserve">"does the system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explains the selection and design of both techniques; Section 5.3 reports and discusses their execution and results; and Section 5.4 summarises the outcome.</w:t>
      </w:r>
    </w:p>
    <w:p>
      <w:r>
        <w:pict>
          <v:rect style="width:0;height:1.5pt" o:hralign="center" o:hrstd="t" o:hr="t"/>
        </w:pict>
      </w:r>
    </w:p>
    <w:bookmarkEnd w:id="9"/>
    <w:bookmarkStart w:id="19" w:name="X4339ec0b8a966f235d1de9ab20b0fdabe2bd102"/>
    <w:p>
      <w:pPr>
        <w:pStyle w:val="Heading2"/>
      </w:pPr>
      <w:r>
        <w:t xml:space="preserve">5.2 Testing Selection and Design</w:t>
      </w:r>
    </w:p>
    <w:bookmarkStart w:id="15" w:name="Xf5be59b7e0e0d49fca4e3693443679ae6a9ee47"/>
    <w:p>
      <w:pPr>
        <w:pStyle w:val="Heading3"/>
      </w:pPr>
      <w:r>
        <w:t xml:space="preserve">5.2.1 Selection of Suitable Testing</w:t>
      </w:r>
    </w:p>
    <w:p>
      <w:pPr>
        <w:pStyle w:val="FirstParagraph"/>
      </w:pPr>
      <w:r>
        <w:t xml:space="preserve">Figure 5.1 shows how the two selected techniques combine into the overall evaluation. White-box testing validates the internal logic,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3" w:name="X004bb2af3a4b836c7a1225c5fefb384903952eb"/>
    <w:p>
      <w:pPr>
        <w:pStyle w:val="Heading4"/>
      </w:pPr>
      <w:r>
        <w:t xml:space="preserve">5.2.1.1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its internal logic — the scanner parsers, the SHA-256 deduplication, the CWE mapper, the NVD enrichment, the CWE→CVSS inference, the Random Forest prioritiser, and the six-factor Confidence Engine.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engine or helper in isolation),</w:t>
      </w:r>
      <w:r>
        <w:t xml:space="preserve"> </w:t>
      </w:r>
      <w:r>
        <w:rPr>
          <w:b/>
          <w:bCs/>
        </w:rPr>
        <w:t xml:space="preserve">integration testing</w:t>
      </w:r>
      <w:r>
        <w:t xml:space="preserve"> </w:t>
      </w:r>
      <w:r>
        <w:t xml:space="preserve">(several engines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3"/>
    <w:bookmarkStart w:id="14" w:name="X7ee98536bb1dbeb7e3deb28e7dd47ff229b3382"/>
    <w:p>
      <w:pPr>
        <w:pStyle w:val="Heading4"/>
      </w:pPr>
      <w:r>
        <w:t xml:space="preserve">5.2.1.2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4"/>
    <w:bookmarkEnd w:id="15"/>
    <w:bookmarkStart w:id="18" w:name="Xa8d1f71187f75055390524fc08fb845e5f7e7d4"/>
    <w:p>
      <w:pPr>
        <w:pStyle w:val="Heading3"/>
      </w:pPr>
      <w:r>
        <w:t xml:space="preserve">5.2.2 Testing Design</w:t>
      </w:r>
    </w:p>
    <w:bookmarkStart w:id="16" w:name="Xdb8cfb363bc9e82fc8b6e85f441e65dc4fd821a"/>
    <w:p>
      <w:pPr>
        <w:pStyle w:val="Heading4"/>
      </w:pPr>
      <w:r>
        <w:t xml:space="preserve">5.2.2.1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Table 5.1 shows the test-case template used, illustrated with representative cases: each case has an identifier, the unit under test, the input, the expected output, and the pass criterion.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ID</w:t>
            </w:r>
          </w:p>
        </w:tc>
        <w:tc>
          <w:tcPr/>
          <w:p>
            <w:pPr>
              <w:pStyle w:val="Compact"/>
            </w:pPr>
            <w:r>
              <w:t xml:space="preserve">Unit under test</w:t>
            </w:r>
          </w:p>
        </w:tc>
        <w:tc>
          <w:tcPr/>
          <w:p>
            <w:pPr>
              <w:pStyle w:val="Compact"/>
            </w:pPr>
            <w:r>
              <w:t xml:space="preserve">Input</w:t>
            </w:r>
          </w:p>
        </w:tc>
        <w:tc>
          <w:tcPr/>
          <w:p>
            <w:pPr>
              <w:pStyle w:val="Compact"/>
            </w:pPr>
            <w:r>
              <w:t xml:space="preserve">Expected output</w:t>
            </w:r>
          </w:p>
        </w:tc>
        <w:tc>
          <w:tcPr/>
          <w:p>
            <w:pPr>
              <w:pStyle w:val="Compact"/>
            </w:pPr>
            <w:r>
              <w:t xml:space="preserve">Pass criterion</w:t>
            </w:r>
          </w:p>
        </w:tc>
      </w:tr>
      <w:tr>
        <w:tc>
          <w:tcPr/>
          <w:p>
            <w:pPr>
              <w:pStyle w:val="Compact"/>
            </w:pPr>
            <w:r>
              <w:t xml:space="preserve">WB-01</w:t>
            </w:r>
          </w:p>
        </w:tc>
        <w:tc>
          <w:tcPr/>
          <w:p>
            <w:pPr>
              <w:pStyle w:val="Compact"/>
            </w:pPr>
            <w:r>
              <w:t xml:space="preserve">CWE keyword mapper</w:t>
            </w:r>
          </w:p>
        </w:tc>
        <w:tc>
          <w:tcPr/>
          <w:p>
            <w:pPr>
              <w:pStyle w:val="Compact"/>
            </w:pPr>
            <w:r>
              <w:t xml:space="preserve">Title "SQL Injection"</w:t>
            </w:r>
          </w:p>
        </w:tc>
        <w:tc>
          <w:tcPr/>
          <w:p>
            <w:pPr>
              <w:pStyle w:val="Compact"/>
            </w:pPr>
            <w:r>
              <w:rPr>
                <w:rStyle w:val="VerbatimChar"/>
              </w:rPr>
              <w:t xml:space="preserve">CWE-89</w:t>
            </w:r>
          </w:p>
        </w:tc>
        <w:tc>
          <w:tcPr/>
          <w:p>
            <w:pPr>
              <w:pStyle w:val="Compact"/>
            </w:pPr>
            <w:r>
              <w:t xml:space="preserve">Returned CWE equals</w:t>
            </w:r>
            <w:r>
              <w:t xml:space="preserve"> </w:t>
            </w:r>
            <w:r>
              <w:rPr>
                <w:rStyle w:val="VerbatimChar"/>
              </w:rPr>
              <w:t xml:space="preserve">CWE-89</w:t>
            </w:r>
          </w:p>
        </w:tc>
      </w:tr>
      <w:tr>
        <w:tc>
          <w:tcPr/>
          <w:p>
            <w:pPr>
              <w:pStyle w:val="Compact"/>
            </w:pPr>
            <w:r>
              <w:t xml:space="preserve">WB-02</w:t>
            </w:r>
          </w:p>
        </w:tc>
        <w:tc>
          <w:tcPr/>
          <w:p>
            <w:pPr>
              <w:pStyle w:val="Compact"/>
            </w:pPr>
            <w:r>
              <w:t xml:space="preserve">CWE mapper (regression)</w:t>
            </w:r>
          </w:p>
        </w:tc>
        <w:tc>
          <w:tcPr/>
          <w:p>
            <w:pPr>
              <w:pStyle w:val="Compact"/>
            </w:pPr>
            <w:r>
              <w:t xml:space="preserve">Title "Source Code Disclosure"</w:t>
            </w:r>
          </w:p>
        </w:tc>
        <w:tc>
          <w:tcPr/>
          <w:p>
            <w:pPr>
              <w:pStyle w:val="Compact"/>
            </w:pPr>
            <w:r>
              <w:rPr>
                <w:rStyle w:val="VerbatimChar"/>
              </w:rPr>
              <w:t xml:space="preserve">CWE-540</w:t>
            </w:r>
            <w:r>
              <w:t xml:space="preserve"> </w:t>
            </w:r>
            <w:r>
              <w:t xml:space="preserve">(not RCE)</w:t>
            </w:r>
          </w:p>
        </w:tc>
        <w:tc>
          <w:tcPr/>
          <w:p>
            <w:pPr>
              <w:pStyle w:val="Compact"/>
            </w:pPr>
            <w:r>
              <w:t xml:space="preserve">Not mis-mapped to</w:t>
            </w:r>
            <w:r>
              <w:t xml:space="preserve"> </w:t>
            </w:r>
            <w:r>
              <w:rPr>
                <w:rStyle w:val="VerbatimChar"/>
              </w:rPr>
              <w:t xml:space="preserve">CWE-94</w:t>
            </w:r>
          </w:p>
        </w:tc>
      </w:tr>
      <w:tr>
        <w:tc>
          <w:tcPr/>
          <w:p>
            <w:pPr>
              <w:pStyle w:val="Compact"/>
            </w:pPr>
            <w:r>
              <w:t xml:space="preserve">WB-03</w:t>
            </w:r>
          </w:p>
        </w:tc>
        <w:tc>
          <w:tcPr/>
          <w:p>
            <w:pPr>
              <w:pStyle w:val="Compact"/>
            </w:pPr>
            <w:r>
              <w:t xml:space="preserve">CWE-0 normalisation</w:t>
            </w:r>
          </w:p>
        </w:tc>
        <w:tc>
          <w:tcPr/>
          <w:p>
            <w:pPr>
              <w:pStyle w:val="Compact"/>
            </w:pPr>
            <w:r>
              <w:t xml:space="preserve">Scanner</w:t>
            </w:r>
            <w:r>
              <w:t xml:space="preserve"> </w:t>
            </w:r>
            <w:r>
              <w:rPr>
                <w:rStyle w:val="VerbatimChar"/>
              </w:rPr>
              <w:t xml:space="preserve">cweid=0</w:t>
            </w:r>
          </w:p>
        </w:tc>
        <w:tc>
          <w:tcPr/>
          <w:p>
            <w:pPr>
              <w:pStyle w:val="Compact"/>
            </w:pPr>
            <w:r>
              <w:rPr>
                <w:rStyle w:val="VerbatimChar"/>
              </w:rPr>
              <w:t xml:space="preserve">None</w:t>
            </w:r>
          </w:p>
        </w:tc>
        <w:tc>
          <w:tcPr/>
          <w:p>
            <w:pPr>
              <w:pStyle w:val="Compact"/>
            </w:pPr>
            <w:r>
              <w:t xml:space="preserve">Placeholder dropped, not stored</w:t>
            </w:r>
          </w:p>
        </w:tc>
      </w:tr>
      <w:tr>
        <w:tc>
          <w:tcPr/>
          <w:p>
            <w:pPr>
              <w:pStyle w:val="Compact"/>
            </w:pPr>
            <w:r>
              <w:t xml:space="preserve">WB-04</w:t>
            </w:r>
          </w:p>
        </w:tc>
        <w:tc>
          <w:tcPr/>
          <w:p>
            <w:pPr>
              <w:pStyle w:val="Compact"/>
            </w:pPr>
            <w:r>
              <w:t xml:space="preserve">NVD CWE back-fill</w:t>
            </w:r>
          </w:p>
        </w:tc>
        <w:tc>
          <w:tcPr/>
          <w:p>
            <w:pPr>
              <w:pStyle w:val="Compact"/>
            </w:pPr>
            <w:r>
              <w:t xml:space="preserve">CVE record with weaknesses</w:t>
            </w:r>
          </w:p>
        </w:tc>
        <w:tc>
          <w:tcPr/>
          <w:p>
            <w:pPr>
              <w:pStyle w:val="Compact"/>
            </w:pPr>
            <w:r>
              <w:t xml:space="preserve">Primary CWE extracted</w:t>
            </w:r>
          </w:p>
        </w:tc>
        <w:tc>
          <w:tcPr/>
          <w:p>
            <w:pPr>
              <w:pStyle w:val="Compact"/>
            </w:pPr>
            <w:r>
              <w:t xml:space="preserve">CWE matches the NVD Primary weakness</w:t>
            </w:r>
          </w:p>
        </w:tc>
      </w:tr>
      <w:tr>
        <w:tc>
          <w:tcPr/>
          <w:p>
            <w:pPr>
              <w:pStyle w:val="Compact"/>
            </w:pPr>
            <w:r>
              <w:t xml:space="preserve">WB-05</w:t>
            </w:r>
          </w:p>
        </w:tc>
        <w:tc>
          <w:tcPr/>
          <w:p>
            <w:pPr>
              <w:pStyle w:val="Compact"/>
            </w:pPr>
            <w:r>
              <w:t xml:space="preserve">Confidence engine</w:t>
            </w:r>
          </w:p>
        </w:tc>
        <w:tc>
          <w:tcPr/>
          <w:p>
            <w:pPr>
              <w:pStyle w:val="Compact"/>
            </w:pPr>
            <w:r>
              <w:t xml:space="preserve">Confirmed PoC on a finding</w:t>
            </w:r>
          </w:p>
        </w:tc>
        <w:tc>
          <w:tcPr/>
          <w:p>
            <w:pPr>
              <w:pStyle w:val="Compact"/>
            </w:pPr>
            <w:r>
              <w:t xml:space="preserve">Classification "Confirmed", score ≥ 70</w:t>
            </w:r>
          </w:p>
        </w:tc>
        <w:tc>
          <w:tcPr/>
          <w:p>
            <w:pPr>
              <w:pStyle w:val="Compact"/>
            </w:pPr>
            <w:r>
              <w:t xml:space="preserve">Override applied, score in 70–100 band</w:t>
            </w:r>
          </w:p>
        </w:tc>
      </w:tr>
      <w:tr>
        <w:tc>
          <w:tcPr/>
          <w:p>
            <w:pPr>
              <w:pStyle w:val="Compact"/>
            </w:pPr>
            <w:r>
              <w:t xml:space="preserve">WB-06</w:t>
            </w:r>
          </w:p>
        </w:tc>
        <w:tc>
          <w:tcPr/>
          <w:p>
            <w:pPr>
              <w:pStyle w:val="Compact"/>
            </w:pPr>
            <w:r>
              <w:t xml:space="preserve">HTML sanitiser</w:t>
            </w:r>
          </w:p>
        </w:tc>
        <w:tc>
          <w:tcPr/>
          <w:p>
            <w:pPr>
              <w:pStyle w:val="Compact"/>
            </w:pPr>
            <w:r>
              <w:rPr>
                <w:rStyle w:val="VerbatimChar"/>
              </w:rPr>
              <w:t xml:space="preserve">&lt;p&gt;SQL injection…&lt;/p&gt;</w:t>
            </w:r>
          </w:p>
        </w:tc>
        <w:tc>
          <w:tcPr/>
          <w:p>
            <w:pPr>
              <w:pStyle w:val="Compact"/>
            </w:pPr>
            <w:r>
              <w:t xml:space="preserve">Plain text, tags removed</w:t>
            </w:r>
          </w:p>
        </w:tc>
        <w:tc>
          <w:tcPr/>
          <w:p>
            <w:pPr>
              <w:pStyle w:val="Compact"/>
            </w:pPr>
            <w:r>
              <w:t xml:space="preserve">No markup in output</w:t>
            </w:r>
          </w:p>
        </w:tc>
      </w:tr>
      <w:tr>
        <w:tc>
          <w:tcPr/>
          <w:p>
            <w:pPr>
              <w:pStyle w:val="Compact"/>
            </w:pPr>
            <w:r>
              <w:t xml:space="preserve">WB-07</w:t>
            </w:r>
          </w:p>
        </w:tc>
        <w:tc>
          <w:tcPr/>
          <w:p>
            <w:pPr>
              <w:pStyle w:val="Compact"/>
            </w:pPr>
            <w:r>
              <w:t xml:space="preserve">PoC scope guard</w:t>
            </w:r>
          </w:p>
        </w:tc>
        <w:tc>
          <w:tcPr/>
          <w:p>
            <w:pPr>
              <w:pStyle w:val="Compact"/>
            </w:pPr>
            <w:r>
              <w:rPr>
                <w:rStyle w:val="VerbatimChar"/>
              </w:rPr>
              <w:t xml:space="preserve">--scope localhost:3000</w:t>
            </w:r>
          </w:p>
        </w:tc>
        <w:tc>
          <w:tcPr/>
          <w:p>
            <w:pPr>
              <w:pStyle w:val="Compact"/>
            </w:pPr>
            <w:r>
              <w:t xml:space="preserve">Host</w:t>
            </w:r>
            <w:r>
              <w:t xml:space="preserve"> </w:t>
            </w:r>
            <w:r>
              <w:rPr>
                <w:rStyle w:val="VerbatimChar"/>
              </w:rPr>
              <w:t xml:space="preserve">localhost</w:t>
            </w:r>
            <w:r>
              <w:t xml:space="preserve"> </w:t>
            </w:r>
            <w:r>
              <w:t xml:space="preserve">in-scope</w:t>
            </w:r>
          </w:p>
        </w:tc>
        <w:tc>
          <w:tcPr/>
          <w:p>
            <w:pPr>
              <w:pStyle w:val="Compact"/>
            </w:pPr>
            <w:r>
              <w:t xml:space="preserve">Probe attempted, not skipped</w:t>
            </w:r>
          </w:p>
        </w:tc>
      </w:tr>
    </w:tbl>
    <w:p>
      <w:pPr>
        <w:pStyle w:val="BodyText"/>
      </w:pPr>
      <w:r>
        <w:rPr>
          <w:b/>
          <w:bCs/>
        </w:rPr>
        <w:t xml:space="preserve">Table 5.1: White-Box Test-Case Design Template (representative cases)</w:t>
      </w:r>
    </w:p>
    <w:bookmarkEnd w:id="16"/>
    <w:bookmarkStart w:id="17" w:name="Xe59c980d9e14e89002ea87db6bbe20471de6d4c"/>
    <w:p>
      <w:pPr>
        <w:pStyle w:val="Heading4"/>
      </w:pPr>
      <w:r>
        <w:t xml:space="preserve">5.2.2.2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7"/>
    <w:bookmarkEnd w:id="18"/>
    <w:bookmarkEnd w:id="19"/>
    <w:bookmarkStart w:id="23" w:name="Xdf8304cc98c46e7ba29fa90a2df6e3c66112698"/>
    <w:p>
      <w:pPr>
        <w:pStyle w:val="Heading2"/>
      </w:pPr>
      <w:r>
        <w:t xml:space="preserve">5.3 System Testing and Discussion</w:t>
      </w:r>
    </w:p>
    <w:bookmarkStart w:id="20" w:name="Xb0ff592cf76b56e6bfcd93a7bb3d4b0b056114d"/>
    <w:p>
      <w:pPr>
        <w:pStyle w:val="Heading3"/>
      </w:pPr>
      <w:r>
        <w:t xml:space="preserve">5.3.1 White-Box Testing Execution</w:t>
      </w:r>
    </w:p>
    <w:p>
      <w:pPr>
        <w:pStyle w:val="FirstParagraph"/>
      </w:pPr>
      <w:r>
        <w:rPr>
          <w:b/>
          <w:bCs/>
        </w:rPr>
        <w:t xml:space="preserve">Automated test-suite results (real).</w:t>
      </w:r>
      <w:r>
        <w:t xml:space="preserve"> </w:t>
      </w: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97 tests pass.</w:t>
      </w:r>
      <w:r>
        <w:t xml:space="preserve"> </w:t>
      </w:r>
      <w:r>
        <w:t xml:space="preserve">Table 5.3 breaks the results down by module, showing that every major engine and helper is covered.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Test module</w:t>
            </w:r>
          </w:p>
        </w:tc>
        <w:tc>
          <w:tcPr/>
          <w:p>
            <w:pPr>
              <w:pStyle w:val="Compact"/>
            </w:pPr>
            <w:r>
              <w:t xml:space="preserve">Component under test</w:t>
            </w:r>
          </w:p>
        </w:tc>
        <w:tc>
          <w:tcPr/>
          <w:p>
            <w:pPr>
              <w:pStyle w:val="Compact"/>
              <w:jc w:val="center"/>
            </w:pPr>
            <w:r>
              <w:t xml:space="preserve">Tests</w:t>
            </w:r>
          </w:p>
        </w:tc>
        <w:tc>
          <w:tcPr/>
          <w:p>
            <w:pPr>
              <w:pStyle w:val="Compact"/>
              <w:jc w:val="center"/>
            </w:pPr>
            <w:r>
              <w:t xml:space="preserve">Result</w:t>
            </w:r>
          </w:p>
        </w:tc>
      </w:tr>
      <w:tr>
        <w:tc>
          <w:tcPr/>
          <w:p>
            <w:pPr>
              <w:pStyle w:val="Compact"/>
            </w:pPr>
            <w:r>
              <w:rPr>
                <w:rStyle w:val="VerbatimChar"/>
              </w:rPr>
              <w:t xml:space="preserve">test_cwe_mapper.py</w:t>
            </w:r>
          </w:p>
        </w:tc>
        <w:tc>
          <w:tcPr/>
          <w:p>
            <w:pPr>
              <w:pStyle w:val="Compact"/>
            </w:pPr>
            <w:r>
              <w:t xml:space="preserve">CWE keyword mapper (patterns, ordering, regressions)</w:t>
            </w:r>
          </w:p>
        </w:tc>
        <w:tc>
          <w:tcPr/>
          <w:p>
            <w:pPr>
              <w:pStyle w:val="Compact"/>
              <w:jc w:val="center"/>
            </w:pPr>
            <w:r>
              <w:t xml:space="preserve">27</w:t>
            </w:r>
          </w:p>
        </w:tc>
        <w:tc>
          <w:tcPr/>
          <w:p>
            <w:pPr>
              <w:pStyle w:val="Compact"/>
              <w:jc w:val="center"/>
            </w:pPr>
            <w:r>
              <w:t xml:space="preserve">Pass</w:t>
            </w:r>
          </w:p>
        </w:tc>
      </w:tr>
      <w:tr>
        <w:tc>
          <w:tcPr/>
          <w:p>
            <w:pPr>
              <w:pStyle w:val="Compact"/>
            </w:pPr>
            <w:r>
              <w:rPr>
                <w:rStyle w:val="VerbatimChar"/>
              </w:rPr>
              <w:t xml:space="preserve">test_cwe_normalization.py</w:t>
            </w:r>
          </w:p>
        </w:tc>
        <w:tc>
          <w:tcPr/>
          <w:p>
            <w:pPr>
              <w:pStyle w:val="Compact"/>
            </w:pPr>
            <w:r>
              <w:t xml:space="preserve">CWE-0 / placeholder normalisation</w:t>
            </w:r>
          </w:p>
        </w:tc>
        <w:tc>
          <w:tcPr/>
          <w:p>
            <w:pPr>
              <w:pStyle w:val="Compact"/>
              <w:jc w:val="center"/>
            </w:pPr>
            <w:r>
              <w:t xml:space="preserve">11</w:t>
            </w:r>
          </w:p>
        </w:tc>
        <w:tc>
          <w:tcPr/>
          <w:p>
            <w:pPr>
              <w:pStyle w:val="Compact"/>
              <w:jc w:val="center"/>
            </w:pPr>
            <w:r>
              <w:t xml:space="preserve">Pass</w:t>
            </w:r>
          </w:p>
        </w:tc>
      </w:tr>
      <w:tr>
        <w:tc>
          <w:tcPr/>
          <w:p>
            <w:pPr>
              <w:pStyle w:val="Compact"/>
            </w:pPr>
            <w:r>
              <w:rPr>
                <w:rStyle w:val="VerbatimChar"/>
              </w:rPr>
              <w:t xml:space="preserve">test_confidence_engine.py</w:t>
            </w:r>
          </w:p>
        </w:tc>
        <w:tc>
          <w:tcPr/>
          <w:p>
            <w:pPr>
              <w:pStyle w:val="Compact"/>
            </w:pPr>
            <w:r>
              <w:t xml:space="preserve">Six-factor confidence scoring &amp; classification</w:t>
            </w:r>
          </w:p>
        </w:tc>
        <w:tc>
          <w:tcPr/>
          <w:p>
            <w:pPr>
              <w:pStyle w:val="Compact"/>
              <w:jc w:val="center"/>
            </w:pPr>
            <w:r>
              <w:t xml:space="preserve">9</w:t>
            </w:r>
          </w:p>
        </w:tc>
        <w:tc>
          <w:tcPr/>
          <w:p>
            <w:pPr>
              <w:pStyle w:val="Compact"/>
              <w:jc w:val="center"/>
            </w:pPr>
            <w:r>
              <w:t xml:space="preserve">Pass</w:t>
            </w:r>
          </w:p>
        </w:tc>
      </w:tr>
      <w:tr>
        <w:tc>
          <w:tcPr/>
          <w:p>
            <w:pPr>
              <w:pStyle w:val="Compact"/>
            </w:pPr>
            <w:r>
              <w:rPr>
                <w:rStyle w:val="VerbatimChar"/>
              </w:rPr>
              <w:t xml:space="preserve">test_nvd_enrichment.py</w:t>
            </w:r>
          </w:p>
        </w:tc>
        <w:tc>
          <w:tcPr/>
          <w:p>
            <w:pPr>
              <w:pStyle w:val="Compact"/>
            </w:pPr>
            <w:r>
              <w:t xml:space="preserve">NVD CVSS + CWE back-fill</w:t>
            </w:r>
          </w:p>
        </w:tc>
        <w:tc>
          <w:tcPr/>
          <w:p>
            <w:pPr>
              <w:pStyle w:val="Compact"/>
              <w:jc w:val="center"/>
            </w:pPr>
            <w:r>
              <w:t xml:space="preserve">7</w:t>
            </w:r>
          </w:p>
        </w:tc>
        <w:tc>
          <w:tcPr/>
          <w:p>
            <w:pPr>
              <w:pStyle w:val="Compact"/>
              <w:jc w:val="center"/>
            </w:pPr>
            <w:r>
              <w:t xml:space="preserve">Pass</w:t>
            </w:r>
          </w:p>
        </w:tc>
      </w:tr>
      <w:tr>
        <w:tc>
          <w:tcPr/>
          <w:p>
            <w:pPr>
              <w:pStyle w:val="Compact"/>
            </w:pPr>
            <w:r>
              <w:rPr>
                <w:rStyle w:val="VerbatimChar"/>
              </w:rPr>
              <w:t xml:space="preserve">test_html_to_text.py</w:t>
            </w:r>
          </w:p>
        </w:tc>
        <w:tc>
          <w:tcPr/>
          <w:p>
            <w:pPr>
              <w:pStyle w:val="Compact"/>
            </w:pPr>
            <w:r>
              <w:t xml:space="preserve">HTML-to-text sanitiser</w:t>
            </w:r>
          </w:p>
        </w:tc>
        <w:tc>
          <w:tcPr/>
          <w:p>
            <w:pPr>
              <w:pStyle w:val="Compact"/>
              <w:jc w:val="center"/>
            </w:pPr>
            <w:r>
              <w:t xml:space="preserve">7</w:t>
            </w:r>
          </w:p>
        </w:tc>
        <w:tc>
          <w:tcPr/>
          <w:p>
            <w:pPr>
              <w:pStyle w:val="Compact"/>
              <w:jc w:val="center"/>
            </w:pPr>
            <w:r>
              <w:t xml:space="preserve">Pass</w:t>
            </w:r>
          </w:p>
        </w:tc>
      </w:tr>
      <w:tr>
        <w:tc>
          <w:tcPr/>
          <w:p>
            <w:pPr>
              <w:pStyle w:val="Compact"/>
            </w:pPr>
            <w:r>
              <w:rPr>
                <w:rStyle w:val="VerbatimChar"/>
              </w:rPr>
              <w:t xml:space="preserve">test_ai_summary.py</w:t>
            </w:r>
          </w:p>
        </w:tc>
        <w:tc>
          <w:tcPr/>
          <w:p>
            <w:pPr>
              <w:pStyle w:val="Compact"/>
            </w:pPr>
            <w:r>
              <w:t xml:space="preserve">AI-Assisted Analysis engine (Gemini/Claude)</w:t>
            </w:r>
          </w:p>
        </w:tc>
        <w:tc>
          <w:tcPr/>
          <w:p>
            <w:pPr>
              <w:pStyle w:val="Compact"/>
              <w:jc w:val="center"/>
            </w:pPr>
            <w:r>
              <w:t xml:space="preserve">7</w:t>
            </w:r>
          </w:p>
        </w:tc>
        <w:tc>
          <w:tcPr/>
          <w:p>
            <w:pPr>
              <w:pStyle w:val="Compact"/>
              <w:jc w:val="center"/>
            </w:pPr>
            <w:r>
              <w:t xml:space="preserve">Pass</w:t>
            </w:r>
          </w:p>
        </w:tc>
      </w:tr>
      <w:tr>
        <w:tc>
          <w:tcPr/>
          <w:p>
            <w:pPr>
              <w:pStyle w:val="Compact"/>
            </w:pPr>
            <w:r>
              <w:rPr>
                <w:rStyle w:val="VerbatimChar"/>
              </w:rPr>
              <w:t xml:space="preserve">test_auth.py</w:t>
            </w:r>
          </w:p>
        </w:tc>
        <w:tc>
          <w:tcPr/>
          <w:p>
            <w:pPr>
              <w:pStyle w:val="Compact"/>
            </w:pPr>
            <w:r>
              <w:t xml:space="preserve">JWT registration / login</w:t>
            </w:r>
          </w:p>
        </w:tc>
        <w:tc>
          <w:tcPr/>
          <w:p>
            <w:pPr>
              <w:pStyle w:val="Compact"/>
              <w:jc w:val="center"/>
            </w:pPr>
            <w:r>
              <w:t xml:space="preserve">6</w:t>
            </w:r>
          </w:p>
        </w:tc>
        <w:tc>
          <w:tcPr/>
          <w:p>
            <w:pPr>
              <w:pStyle w:val="Compact"/>
              <w:jc w:val="center"/>
            </w:pPr>
            <w:r>
              <w:t xml:space="preserve">Pass</w:t>
            </w:r>
          </w:p>
        </w:tc>
      </w:tr>
      <w:tr>
        <w:tc>
          <w:tcPr/>
          <w:p>
            <w:pPr>
              <w:pStyle w:val="Compact"/>
            </w:pPr>
            <w:r>
              <w:rPr>
                <w:rStyle w:val="VerbatimChar"/>
              </w:rPr>
              <w:t xml:space="preserve">test_poc_validator.py</w:t>
            </w:r>
          </w:p>
        </w:tc>
        <w:tc>
          <w:tcPr/>
          <w:p>
            <w:pPr>
              <w:pStyle w:val="Compact"/>
            </w:pPr>
            <w:r>
              <w:t xml:space="preserve">PoC checks + scope guard</w:t>
            </w:r>
          </w:p>
        </w:tc>
        <w:tc>
          <w:tcPr/>
          <w:p>
            <w:pPr>
              <w:pStyle w:val="Compact"/>
              <w:jc w:val="center"/>
            </w:pPr>
            <w:r>
              <w:t xml:space="preserve">5</w:t>
            </w:r>
          </w:p>
        </w:tc>
        <w:tc>
          <w:tcPr/>
          <w:p>
            <w:pPr>
              <w:pStyle w:val="Compact"/>
              <w:jc w:val="center"/>
            </w:pPr>
            <w:r>
              <w:t xml:space="preserve">Pass</w:t>
            </w:r>
          </w:p>
        </w:tc>
      </w:tr>
      <w:tr>
        <w:tc>
          <w:tcPr/>
          <w:p>
            <w:pPr>
              <w:pStyle w:val="Compact"/>
            </w:pPr>
            <w:r>
              <w:rPr>
                <w:rStyle w:val="VerbatimChar"/>
              </w:rPr>
              <w:t xml:space="preserve">test_auto_scan.py</w:t>
            </w:r>
          </w:p>
        </w:tc>
        <w:tc>
          <w:tcPr/>
          <w:p>
            <w:pPr>
              <w:pStyle w:val="Compact"/>
            </w:pPr>
            <w:r>
              <w:t xml:space="preserve">Auto Scan orchestration</w:t>
            </w:r>
          </w:p>
        </w:tc>
        <w:tc>
          <w:tcPr/>
          <w:p>
            <w:pPr>
              <w:pStyle w:val="Compact"/>
              <w:jc w:val="center"/>
            </w:pPr>
            <w:r>
              <w:t xml:space="preserve">5</w:t>
            </w:r>
          </w:p>
        </w:tc>
        <w:tc>
          <w:tcPr/>
          <w:p>
            <w:pPr>
              <w:pStyle w:val="Compact"/>
              <w:jc w:val="center"/>
            </w:pPr>
            <w:r>
              <w:t xml:space="preserve">Pass</w:t>
            </w:r>
          </w:p>
        </w:tc>
      </w:tr>
      <w:tr>
        <w:tc>
          <w:tcPr/>
          <w:p>
            <w:pPr>
              <w:pStyle w:val="Compact"/>
            </w:pPr>
            <w:r>
              <w:rPr>
                <w:rStyle w:val="VerbatimChar"/>
              </w:rPr>
              <w:t xml:space="preserve">test_exploit_search.py</w:t>
            </w:r>
          </w:p>
        </w:tc>
        <w:tc>
          <w:tcPr/>
          <w:p>
            <w:pPr>
              <w:pStyle w:val="Compact"/>
            </w:pPr>
            <w:r>
              <w:t xml:space="preserve">Exploit-DB lookup</w:t>
            </w:r>
          </w:p>
        </w:tc>
        <w:tc>
          <w:tcPr/>
          <w:p>
            <w:pPr>
              <w:pStyle w:val="Compact"/>
              <w:jc w:val="center"/>
            </w:pPr>
            <w:r>
              <w:t xml:space="preserve">4</w:t>
            </w:r>
          </w:p>
        </w:tc>
        <w:tc>
          <w:tcPr/>
          <w:p>
            <w:pPr>
              <w:pStyle w:val="Compact"/>
              <w:jc w:val="center"/>
            </w:pPr>
            <w:r>
              <w:t xml:space="preserve">Pass</w:t>
            </w:r>
          </w:p>
        </w:tc>
      </w:tr>
      <w:tr>
        <w:tc>
          <w:tcPr/>
          <w:p>
            <w:pPr>
              <w:pStyle w:val="Compact"/>
            </w:pPr>
            <w:r>
              <w:rPr>
                <w:rStyle w:val="VerbatimChar"/>
              </w:rPr>
              <w:t xml:space="preserve">test_cwe_cvss_enrichment.py</w:t>
            </w:r>
          </w:p>
        </w:tc>
        <w:tc>
          <w:tcPr/>
          <w:p>
            <w:pPr>
              <w:pStyle w:val="Compact"/>
            </w:pPr>
            <w:r>
              <w:t xml:space="preserve">CWE→CVSS vector inference</w:t>
            </w:r>
          </w:p>
        </w:tc>
        <w:tc>
          <w:tcPr/>
          <w:p>
            <w:pPr>
              <w:pStyle w:val="Compact"/>
              <w:jc w:val="center"/>
            </w:pPr>
            <w:r>
              <w:t xml:space="preserve">3</w:t>
            </w:r>
          </w:p>
        </w:tc>
        <w:tc>
          <w:tcPr/>
          <w:p>
            <w:pPr>
              <w:pStyle w:val="Compact"/>
              <w:jc w:val="center"/>
            </w:pPr>
            <w:r>
              <w:t xml:space="preserve">Pass</w:t>
            </w:r>
          </w:p>
        </w:tc>
      </w:tr>
      <w:tr>
        <w:tc>
          <w:tcPr/>
          <w:p>
            <w:pPr>
              <w:pStyle w:val="Compact"/>
            </w:pPr>
            <w:r>
              <w:rPr>
                <w:rStyle w:val="VerbatimChar"/>
              </w:rPr>
              <w:t xml:space="preserve">test_report_escaping.py</w:t>
            </w:r>
          </w:p>
        </w:tc>
        <w:tc>
          <w:tcPr/>
          <w:p>
            <w:pPr>
              <w:pStyle w:val="Compact"/>
            </w:pPr>
            <w:r>
              <w:t xml:space="preserve">Report XML-escaping</w:t>
            </w:r>
          </w:p>
        </w:tc>
        <w:tc>
          <w:tcPr/>
          <w:p>
            <w:pPr>
              <w:pStyle w:val="Compact"/>
              <w:jc w:val="center"/>
            </w:pPr>
            <w:r>
              <w:t xml:space="preserve">2</w:t>
            </w:r>
          </w:p>
        </w:tc>
        <w:tc>
          <w:tcPr/>
          <w:p>
            <w:pPr>
              <w:pStyle w:val="Compact"/>
              <w:jc w:val="center"/>
            </w:pPr>
            <w:r>
              <w:t xml:space="preserve">Pass</w:t>
            </w:r>
          </w:p>
        </w:tc>
      </w:tr>
      <w:tr>
        <w:tc>
          <w:tcPr/>
          <w:p>
            <w:pPr>
              <w:pStyle w:val="Compact"/>
            </w:pPr>
            <w:r>
              <w:rPr>
                <w:rStyle w:val="VerbatimChar"/>
              </w:rPr>
              <w:t xml:space="preserve">test_parsers.py</w:t>
            </w:r>
          </w:p>
        </w:tc>
        <w:tc>
          <w:tcPr/>
          <w:p>
            <w:pPr>
              <w:pStyle w:val="Compact"/>
            </w:pPr>
            <w:r>
              <w:t xml:space="preserve">ZAP / Nuclei / Nessus parsers</w:t>
            </w:r>
          </w:p>
        </w:tc>
        <w:tc>
          <w:tcPr/>
          <w:p>
            <w:pPr>
              <w:pStyle w:val="Compact"/>
              <w:jc w:val="center"/>
            </w:pPr>
            <w:r>
              <w:t xml:space="preserve">2</w:t>
            </w:r>
          </w:p>
        </w:tc>
        <w:tc>
          <w:tcPr/>
          <w:p>
            <w:pPr>
              <w:pStyle w:val="Compact"/>
              <w:jc w:val="center"/>
            </w:pPr>
            <w:r>
              <w:t xml:space="preserve">Pass</w:t>
            </w:r>
          </w:p>
        </w:tc>
      </w:tr>
      <w:tr>
        <w:tc>
          <w:tcPr/>
          <w:p>
            <w:pPr>
              <w:pStyle w:val="Compact"/>
            </w:pPr>
            <w:r>
              <w:rPr>
                <w:rStyle w:val="VerbatimChar"/>
              </w:rPr>
              <w:t xml:space="preserve">test_clear_data.py</w:t>
            </w:r>
          </w:p>
        </w:tc>
        <w:tc>
          <w:tcPr/>
          <w:p>
            <w:pPr>
              <w:pStyle w:val="Compact"/>
            </w:pPr>
            <w:r>
              <w:t xml:space="preserve">Session data reset</w:t>
            </w:r>
          </w:p>
        </w:tc>
        <w:tc>
          <w:tcPr/>
          <w:p>
            <w:pPr>
              <w:pStyle w:val="Compact"/>
              <w:jc w:val="center"/>
            </w:pPr>
            <w:r>
              <w:t xml:space="preserve">2</w:t>
            </w:r>
          </w:p>
        </w:tc>
        <w:tc>
          <w:tcPr/>
          <w:p>
            <w:pPr>
              <w:pStyle w:val="Compact"/>
              <w:jc w:val="center"/>
            </w:pPr>
            <w:r>
              <w:t xml:space="preserve">Pass</w:t>
            </w:r>
          </w:p>
        </w:tc>
      </w:tr>
      <w:tr>
        <w:tc>
          <w:tcPr/>
          <w:p>
            <w:pPr>
              <w:pStyle w:val="Compact"/>
            </w:pPr>
            <w:r>
              <w:rPr>
                <w:b/>
                <w:bCs/>
              </w:rPr>
              <w:t xml:space="preserve">Total</w:t>
            </w:r>
          </w:p>
        </w:tc>
        <w:tc>
          <w:tcPr/>
          <w:p>
            <w:pPr>
              <w:pStyle w:val="Compact"/>
            </w:pPr>
          </w:p>
        </w:tc>
        <w:tc>
          <w:tcPr/>
          <w:p>
            <w:pPr>
              <w:pStyle w:val="Compact"/>
              <w:jc w:val="center"/>
            </w:pPr>
            <w:r>
              <w:rPr>
                <w:b/>
                <w:bCs/>
              </w:rPr>
              <w:t xml:space="preserve">97</w:t>
            </w:r>
          </w:p>
        </w:tc>
        <w:tc>
          <w:tcPr/>
          <w:p>
            <w:pPr>
              <w:pStyle w:val="Compact"/>
              <w:jc w:val="center"/>
            </w:pPr>
            <w:r>
              <w:rPr>
                <w:b/>
                <w:bCs/>
              </w:rPr>
              <w:t xml:space="preserve">All Pass</w:t>
            </w:r>
          </w:p>
        </w:tc>
      </w:tr>
    </w:tbl>
    <w:p>
      <w:pPr>
        <w:pStyle w:val="BodyText"/>
      </w:pPr>
      <w:r>
        <w:rPr>
          <w:b/>
          <w:bCs/>
        </w:rPr>
        <w:t xml:space="preserve">Table 5.3: Automated White-Box Test Results by Module</w:t>
      </w:r>
    </w:p>
    <w:p>
      <w:pPr>
        <w:pStyle w:val="BodyText"/>
      </w:pPr>
      <w:r>
        <w:rPr>
          <w:b/>
          <w:bCs/>
        </w:rPr>
        <w:t xml:space="preserve">Machine-learning model evaluation (real).</w:t>
      </w:r>
      <w:r>
        <w:t xml:space="preserve"> </w:t>
      </w:r>
      <w:r>
        <w:t xml:space="preserve">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Table 5.4 gives the per-class report and Table 5.5 the confusion matrix. Only 70 of 21,697 predictions were wrong, and — importantly — every error is a single severity band off (e.g. a Critical predicted as High), never a gross misclassification such as Critical-to-Low.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5.4: Random Forest Per-Class Evaluation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5.5: Random Forest Confusion Matrix (21,697 held-out records)</w:t>
      </w:r>
    </w:p>
    <w:p>
      <w:pPr>
        <w:pStyle w:val="BodyText"/>
      </w:pPr>
      <w:r>
        <w:rPr>
          <w:b/>
          <w:bCs/>
        </w:rPr>
        <w:t xml:space="preserve">Confidence Engine evaluation (real).</w:t>
      </w:r>
      <w:r>
        <w:t xml:space="preserve"> </w:t>
      </w:r>
      <w:r>
        <w:t xml:space="preserve">The Confidence Engine — the project's novel contribution — was evaluated on a curated benchmark of 32 labelled scenarios (16 true positives, 16 false positives) using the</w:t>
      </w:r>
      <w:r>
        <w:t xml:space="preserve"> </w:t>
      </w:r>
      <w:r>
        <w:rPr>
          <w:rStyle w:val="VerbatimChar"/>
        </w:rPr>
        <w:t xml:space="preserve">evaluate_confidence</w:t>
      </w:r>
      <w:r>
        <w:t xml:space="preserve"> </w:t>
      </w:r>
      <w:r>
        <w:t xml:space="preserve">harness. It achieved a</w:t>
      </w:r>
      <w:r>
        <w:t xml:space="preserve"> </w:t>
      </w:r>
      <w:r>
        <w:rPr>
          <w:b/>
          <w:bCs/>
        </w:rPr>
        <w:t xml:space="preserve">ROC-AUC of ≈ 0.82</w:t>
      </w:r>
      <w:r>
        <w:t xml:space="preserve">, a</w:t>
      </w:r>
      <w:r>
        <w:t xml:space="preserve"> </w:t>
      </w:r>
      <w:r>
        <w:rPr>
          <w:b/>
          <w:bCs/>
        </w:rPr>
        <w:t xml:space="preserve">precision of 1.0 for the "Confirmed" classification</w:t>
      </w:r>
      <w:r>
        <w:t xml:space="preserve"> </w:t>
      </w:r>
      <w:r>
        <w:t xml:space="preserve">(it never wrongly confirmed a false positive), and it</w:t>
      </w:r>
      <w:r>
        <w:t xml:space="preserve"> </w:t>
      </w:r>
      <w:r>
        <w:rPr>
          <w:b/>
          <w:bCs/>
        </w:rPr>
        <w:t xml:space="preserve">auto-dismissed ≈ 81% of the false positives while retaining 75% of the true positives</w:t>
      </w:r>
      <w:r>
        <w:t xml:space="preserve"> </w:t>
      </w:r>
      <w:r>
        <w:t xml:space="preserve">for review. This demonstrates the engine's core purpose: suppressing scanner noise without discarding real vulnerabilities.</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5.6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5.6: Live Functional / System Verification Results</w:t>
      </w:r>
    </w:p>
    <w:bookmarkEnd w:id="20"/>
    <w:bookmarkStart w:id="21" w:name="X2103990b22303365d04026752791bacc2d669c8"/>
    <w:p>
      <w:pPr>
        <w:pStyle w:val="Heading3"/>
      </w:pPr>
      <w:r>
        <w:t xml:space="preserve">5.3.2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§5.2.2.2.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5.10)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5.7: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5.8: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5.9: Tester 3 UAT Results (to be completed)</w:t>
      </w:r>
    </w:p>
    <w:p>
      <w:pPr>
        <w:pStyle w:val="BodyText"/>
      </w:pPr>
      <w:r>
        <w:rPr>
          <w:b/>
          <w:bCs/>
        </w:rPr>
        <w:t xml:space="preserve">Acceptance summary (template).</w:t>
      </w:r>
      <w:r>
        <w:t xml:space="preserve"> </w:t>
      </w:r>
      <w:r>
        <w:t xml:space="preserve">Once the forms are collected, aggregate them in Table 5.10: the mean UI rating per criterion (out of 5) and the proportion of "Yes" responses per functionality criterion.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5.10: UAT Acceptance Summary (to be completed)</w:t>
      </w:r>
    </w:p>
    <w:bookmarkEnd w:id="21"/>
    <w:bookmarkStart w:id="22" w:name="Xdf6580e43cd4db41cb4f0594ac1084bceb4f354"/>
    <w:p>
      <w:pPr>
        <w:pStyle w:val="Heading3"/>
      </w:pPr>
      <w:r>
        <w:t xml:space="preserve">5.3.3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system's correctness with reproducible evidence. Every engine is covered by passing tests (97/97), and the technique repeatedly proved its value during development by isolating individual defects — for example, the CWE mapper regressions and the CWE-0 placeholder handling were both caught and fixed as unit-level failures before they could affect the integrated pipeline. The machine-learning model generalises with 99.68% accuracy on unseen real data, with only benign off-by-one-band errors, and the Confidence Engine achieves perfect precision on its "Confirmed" verdict on the benchmark, meaning an analyst can trust that a "Confirmed" label is not a false alarm. The live verification confirmed that these component-level guarantees hold when the engines are integrated and driven against a real target: the full scan-to-report workflow completed, the SQL injection was actively confirmed, and the report was produced. An honest limitation is that the confidence benchmark is a</w:t>
      </w:r>
      <w:r>
        <w:t xml:space="preserve"> </w:t>
      </w:r>
      <w:r>
        <w:rPr>
          <w:i/>
          <w:iCs/>
        </w:rPr>
        <w:t xml:space="preserve">curated synthetic</w:t>
      </w:r>
      <w:r>
        <w:t xml:space="preserve"> </w:t>
      </w:r>
      <w:r>
        <w:t xml:space="preserve">set rather than field-validated data,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§5.3.2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22"/>
    <w:bookmarkEnd w:id="23"/>
    <w:bookmarkStart w:id="24" w:name="X32768a294109eb22590a37edaae685c4b9e19bc"/>
    <w:p>
      <w:pPr>
        <w:pStyle w:val="Heading2"/>
      </w:pPr>
      <w:r>
        <w:t xml:space="preserve">5.4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all</w:t>
      </w:r>
      <w:r>
        <w:t xml:space="preserve"> </w:t>
      </w:r>
      <w:r>
        <w:rPr>
          <w:b/>
          <w:bCs/>
        </w:rPr>
        <w:t xml:space="preserve">97 automated unit and integration tests pass</w:t>
      </w:r>
      <w:r>
        <w:t xml:space="preserve">, the machine-learning prioritiser achieves</w:t>
      </w:r>
      <w:r>
        <w:t xml:space="preserve"> </w:t>
      </w:r>
      <w:r>
        <w:rPr>
          <w:b/>
          <w:bCs/>
        </w:rPr>
        <w:t xml:space="preserve">99.68% accuracy (macro-F1 0.9941)</w:t>
      </w:r>
      <w:r>
        <w:t xml:space="preserve"> </w:t>
      </w:r>
      <w:r>
        <w:t xml:space="preserve">on 21,697 unseen real records with only benign off-by-one-band errors, the Confidence Engine reaches</w:t>
      </w:r>
      <w:r>
        <w:t xml:space="preserve"> </w:t>
      </w:r>
      <w:r>
        <w:rPr>
          <w:b/>
          <w:bCs/>
        </w:rPr>
        <w:t xml:space="preserve">ROC-AUC ≈ 0.82 with perfect "Confirmed" precision</w:t>
      </w:r>
      <w:r>
        <w:t xml:space="preserve"> </w:t>
      </w:r>
      <w:r>
        <w:t xml:space="preserve">and ~81% false-positive suppression, and the full pipeline was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the system computes trustworthy, evidence-backed triage verdicts, while the user acceptance testing establishes that the intended users can operate the system and accept it in practice. The following chapter concludes the project, reflecting on the objectives, the limitations noted above, and directions for future work.</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2026-07-15T03:08:27Z</dcterms:created>
  <dcterms:modified xsi:type="dcterms:W3CDTF">2026-07-15T03:08:27Z</dcterms:modified>
</cp:coreProperties>
</file>

<file path=docProps/custom.xml><?xml version="1.0" encoding="utf-8"?>
<Properties xmlns="http://schemas.openxmlformats.org/officeDocument/2006/custom-properties" xmlns:vt="http://schemas.openxmlformats.org/officeDocument/2006/docPropsVTypes"/>
</file>