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C234" w14:textId="380B46A4" w:rsidR="002C4E7D" w:rsidRPr="002C4E7D" w:rsidRDefault="002C4E7D" w:rsidP="002C4E7D">
      <w:pPr>
        <w:rPr>
          <w:rFonts w:ascii="Times New Roman" w:hAnsi="Times New Roman" w:cs="Times New Roman"/>
          <w:b/>
          <w:bCs/>
        </w:rPr>
      </w:pPr>
      <w:r w:rsidRPr="002C4E7D">
        <w:rPr>
          <w:rFonts w:ascii="Times New Roman" w:hAnsi="Times New Roman" w:cs="Times New Roman"/>
          <w:b/>
          <w:bCs/>
        </w:rPr>
        <w:t>Understanding America’s Federal Budget: Spending, Revenue, and Debt (1980–2024)</w:t>
      </w:r>
    </w:p>
    <w:p w14:paraId="4B039AB4" w14:textId="77777777" w:rsidR="0048780E" w:rsidRPr="0048780E" w:rsidRDefault="0048780E" w:rsidP="0048780E">
      <w:pPr>
        <w:rPr>
          <w:rFonts w:ascii="Times New Roman" w:hAnsi="Times New Roman" w:cs="Times New Roman"/>
        </w:rPr>
      </w:pPr>
      <w:r w:rsidRPr="0048780E">
        <w:rPr>
          <w:rFonts w:ascii="Times New Roman" w:hAnsi="Times New Roman" w:cs="Times New Roman"/>
        </w:rPr>
        <w:t>The federal budget tells the story of the American economy itself. It shows how the government collects money, spends it, borrows it, and balances competing priorities across generations. Each line in the budget reflects a policy choice that shapes jobs, growth, and the nation’s long-term stability.</w:t>
      </w:r>
    </w:p>
    <w:p w14:paraId="6452C4EE" w14:textId="77777777" w:rsidR="0048780E" w:rsidRPr="0048780E" w:rsidRDefault="0048780E" w:rsidP="0048780E">
      <w:pPr>
        <w:rPr>
          <w:rFonts w:ascii="Times New Roman" w:hAnsi="Times New Roman" w:cs="Times New Roman"/>
        </w:rPr>
      </w:pPr>
      <w:r w:rsidRPr="0048780E">
        <w:rPr>
          <w:rFonts w:ascii="Times New Roman" w:hAnsi="Times New Roman" w:cs="Times New Roman"/>
        </w:rPr>
        <w:t>Through these visualizations, we explore how U.S. revenues, expenditures, and debt have evolved from 1980 to 2024, revealing key trends that continue to define the country’s fiscal landscape.</w:t>
      </w:r>
    </w:p>
    <w:p w14:paraId="00CB7C43" w14:textId="77777777" w:rsidR="002C4E7D" w:rsidRPr="002C4E7D" w:rsidRDefault="00000000" w:rsidP="002C4E7D">
      <w:pPr>
        <w:rPr>
          <w:rFonts w:ascii="Times New Roman" w:hAnsi="Times New Roman" w:cs="Times New Roman"/>
        </w:rPr>
      </w:pPr>
      <w:r>
        <w:rPr>
          <w:rFonts w:ascii="Times New Roman" w:hAnsi="Times New Roman" w:cs="Times New Roman"/>
        </w:rPr>
        <w:pict w14:anchorId="426B79FB">
          <v:rect id="_x0000_i1025" style="width:0;height:1.5pt" o:hralign="center" o:hrstd="t" o:hr="t" fillcolor="#a0a0a0" stroked="f"/>
        </w:pict>
      </w:r>
    </w:p>
    <w:p w14:paraId="196AB4B0" w14:textId="29ED0026" w:rsidR="002C4E7D" w:rsidRPr="002C4E7D" w:rsidRDefault="002C4E7D" w:rsidP="002C4E7D">
      <w:pPr>
        <w:jc w:val="both"/>
        <w:rPr>
          <w:rFonts w:ascii="Times New Roman" w:hAnsi="Times New Roman" w:cs="Times New Roman"/>
          <w:b/>
          <w:bCs/>
        </w:rPr>
      </w:pPr>
      <w:r w:rsidRPr="002C4E7D">
        <w:rPr>
          <w:rFonts w:ascii="Times New Roman" w:hAnsi="Times New Roman" w:cs="Times New Roman"/>
          <w:b/>
          <w:bCs/>
        </w:rPr>
        <w:t>The Big Picture: Surplus vs. Deficit</w:t>
      </w:r>
    </w:p>
    <w:p w14:paraId="2DA28D12" w14:textId="3A89FA3A" w:rsidR="002C4E7D" w:rsidRPr="002C4E7D" w:rsidRDefault="002C4E7D" w:rsidP="002C4E7D">
      <w:pPr>
        <w:rPr>
          <w:rFonts w:ascii="Times New Roman" w:hAnsi="Times New Roman" w:cs="Times New Roman"/>
        </w:rPr>
      </w:pPr>
      <w:r w:rsidRPr="00E03167">
        <w:rPr>
          <w:rFonts w:ascii="Times New Roman" w:hAnsi="Times New Roman" w:cs="Times New Roman"/>
          <w:noProof/>
        </w:rPr>
        <w:drawing>
          <wp:inline distT="0" distB="0" distL="0" distR="0" wp14:anchorId="5A5160F4" wp14:editId="68B335CA">
            <wp:extent cx="6858000" cy="3553460"/>
            <wp:effectExtent l="0" t="0" r="0" b="8890"/>
            <wp:docPr id="1876943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434" name="Graphic 18769434"/>
                    <pic:cNvPicPr/>
                  </pic:nvPicPr>
                  <pic:blipFill>
                    <a:blip r:embed="rId6">
                      <a:extLst>
                        <a:ext uri="{96DAC541-7B7A-43D3-8B79-37D633B846F1}">
                          <asvg:svgBlip xmlns:asvg="http://schemas.microsoft.com/office/drawing/2016/SVG/main" r:embed="rId7"/>
                        </a:ext>
                      </a:extLst>
                    </a:blip>
                    <a:stretch>
                      <a:fillRect/>
                    </a:stretch>
                  </pic:blipFill>
                  <pic:spPr>
                    <a:xfrm>
                      <a:off x="0" y="0"/>
                      <a:ext cx="6858000" cy="3553460"/>
                    </a:xfrm>
                    <a:prstGeom prst="rect">
                      <a:avLst/>
                    </a:prstGeom>
                  </pic:spPr>
                </pic:pic>
              </a:graphicData>
            </a:graphic>
          </wp:inline>
        </w:drawing>
      </w:r>
      <w:r w:rsidRPr="002C4E7D">
        <w:rPr>
          <w:rFonts w:ascii="Times New Roman" w:hAnsi="Times New Roman" w:cs="Times New Roman"/>
        </w:rPr>
        <w:br/>
        <w:t>The United States has consistently spent more than it has collected in revenue since the early 2000s, resulting in persistent budget deficits. The first chart compares total receipts (in blue) and outlays (in orange), with the shaded area highlighting the surplus (green) or deficit (red).</w:t>
      </w:r>
    </w:p>
    <w:p w14:paraId="500AB54E" w14:textId="77777777" w:rsidR="002C4E7D" w:rsidRPr="00E03167" w:rsidRDefault="002C4E7D" w:rsidP="002C4E7D">
      <w:pPr>
        <w:rPr>
          <w:rFonts w:ascii="Times New Roman" w:hAnsi="Times New Roman" w:cs="Times New Roman"/>
        </w:rPr>
      </w:pPr>
      <w:r w:rsidRPr="002C4E7D">
        <w:rPr>
          <w:rFonts w:ascii="Times New Roman" w:hAnsi="Times New Roman" w:cs="Times New Roman"/>
        </w:rPr>
        <w:t>After a brief surplus during the late 1990s technology boom, deficits deepened sharply following the 2008 financial crisis and again during the COVID-19 pandemic.</w:t>
      </w:r>
      <w:r w:rsidRPr="002C4E7D">
        <w:rPr>
          <w:rFonts w:ascii="Times New Roman" w:hAnsi="Times New Roman" w:cs="Times New Roman"/>
        </w:rPr>
        <w:br/>
        <w:t>Outlays surged beyond 6 trillion dollars in 2020–2022 as stimulus programs expanded spending, while receipts lagged despite a recovering economy.</w:t>
      </w:r>
    </w:p>
    <w:p w14:paraId="13522282" w14:textId="77777777" w:rsidR="002C4E7D" w:rsidRPr="00E03167" w:rsidRDefault="002C4E7D" w:rsidP="002C4E7D">
      <w:pPr>
        <w:rPr>
          <w:rFonts w:ascii="Times New Roman" w:hAnsi="Times New Roman" w:cs="Times New Roman"/>
        </w:rPr>
      </w:pPr>
    </w:p>
    <w:p w14:paraId="68A51A2C" w14:textId="77777777" w:rsidR="002C4E7D" w:rsidRPr="00E03167" w:rsidRDefault="002C4E7D" w:rsidP="002C4E7D">
      <w:pPr>
        <w:rPr>
          <w:rFonts w:ascii="Times New Roman" w:hAnsi="Times New Roman" w:cs="Times New Roman"/>
        </w:rPr>
      </w:pPr>
    </w:p>
    <w:p w14:paraId="4CFD4BF7" w14:textId="77777777" w:rsidR="002C4E7D" w:rsidRPr="00E03167" w:rsidRDefault="002C4E7D" w:rsidP="002C4E7D">
      <w:pPr>
        <w:rPr>
          <w:rFonts w:ascii="Times New Roman" w:hAnsi="Times New Roman" w:cs="Times New Roman"/>
        </w:rPr>
      </w:pPr>
    </w:p>
    <w:p w14:paraId="497853CA" w14:textId="77777777" w:rsidR="002C4E7D" w:rsidRPr="00E03167" w:rsidRDefault="002C4E7D" w:rsidP="002C4E7D">
      <w:pPr>
        <w:rPr>
          <w:rFonts w:ascii="Times New Roman" w:hAnsi="Times New Roman" w:cs="Times New Roman"/>
        </w:rPr>
      </w:pPr>
    </w:p>
    <w:p w14:paraId="54F6C966" w14:textId="77777777" w:rsidR="002C4E7D" w:rsidRPr="00E03167" w:rsidRDefault="002C4E7D" w:rsidP="002C4E7D">
      <w:pPr>
        <w:rPr>
          <w:rFonts w:ascii="Times New Roman" w:hAnsi="Times New Roman" w:cs="Times New Roman"/>
        </w:rPr>
      </w:pPr>
    </w:p>
    <w:p w14:paraId="64616973" w14:textId="687C6477" w:rsidR="002C4E7D" w:rsidRPr="002C4E7D" w:rsidRDefault="002C4E7D" w:rsidP="002C4E7D">
      <w:pPr>
        <w:rPr>
          <w:rFonts w:ascii="Times New Roman" w:hAnsi="Times New Roman" w:cs="Times New Roman"/>
          <w:b/>
          <w:bCs/>
        </w:rPr>
      </w:pPr>
      <w:r w:rsidRPr="002C4E7D">
        <w:rPr>
          <w:rFonts w:ascii="Times New Roman" w:hAnsi="Times New Roman" w:cs="Times New Roman"/>
          <w:b/>
          <w:bCs/>
        </w:rPr>
        <w:lastRenderedPageBreak/>
        <w:t>Federal Budget Relative to GDP</w:t>
      </w:r>
      <w:r w:rsidR="007D04B1" w:rsidRPr="00E03167">
        <w:rPr>
          <w:rFonts w:ascii="Times New Roman" w:hAnsi="Times New Roman" w:cs="Times New Roman"/>
          <w:b/>
          <w:bCs/>
        </w:rPr>
        <w:t xml:space="preserve"> </w:t>
      </w:r>
    </w:p>
    <w:p w14:paraId="08173B12" w14:textId="219EE4B7" w:rsidR="002C4E7D" w:rsidRPr="00E03167" w:rsidRDefault="002C4E7D" w:rsidP="002C4E7D">
      <w:pPr>
        <w:rPr>
          <w:rFonts w:ascii="Times New Roman" w:hAnsi="Times New Roman" w:cs="Times New Roman"/>
        </w:rPr>
      </w:pPr>
      <w:r w:rsidRPr="00E03167">
        <w:rPr>
          <w:rFonts w:ascii="Times New Roman" w:hAnsi="Times New Roman" w:cs="Times New Roman"/>
          <w:noProof/>
        </w:rPr>
        <w:drawing>
          <wp:inline distT="0" distB="0" distL="0" distR="0" wp14:anchorId="583B5E51" wp14:editId="48B3D89A">
            <wp:extent cx="6858000" cy="3343275"/>
            <wp:effectExtent l="0" t="0" r="0" b="9525"/>
            <wp:docPr id="137538298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82989" name="Graphic 1375382989"/>
                    <pic:cNvPicPr/>
                  </pic:nvPicPr>
                  <pic:blipFill>
                    <a:blip r:embed="rId8">
                      <a:extLst>
                        <a:ext uri="{96DAC541-7B7A-43D3-8B79-37D633B846F1}">
                          <asvg:svgBlip xmlns:asvg="http://schemas.microsoft.com/office/drawing/2016/SVG/main" r:embed="rId9"/>
                        </a:ext>
                      </a:extLst>
                    </a:blip>
                    <a:stretch>
                      <a:fillRect/>
                    </a:stretch>
                  </pic:blipFill>
                  <pic:spPr>
                    <a:xfrm>
                      <a:off x="0" y="0"/>
                      <a:ext cx="6858000" cy="3343275"/>
                    </a:xfrm>
                    <a:prstGeom prst="rect">
                      <a:avLst/>
                    </a:prstGeom>
                  </pic:spPr>
                </pic:pic>
              </a:graphicData>
            </a:graphic>
          </wp:inline>
        </w:drawing>
      </w:r>
      <w:r w:rsidRPr="002C4E7D">
        <w:rPr>
          <w:rFonts w:ascii="Times New Roman" w:hAnsi="Times New Roman" w:cs="Times New Roman"/>
        </w:rPr>
        <w:br/>
        <w:t>When measured as a share of GDP, the federal budget shows the economy’s capacity to absorb spending.</w:t>
      </w:r>
      <w:r w:rsidRPr="002C4E7D">
        <w:rPr>
          <w:rFonts w:ascii="Times New Roman" w:hAnsi="Times New Roman" w:cs="Times New Roman"/>
        </w:rPr>
        <w:br/>
        <w:t>Receipts have hovered between 1</w:t>
      </w:r>
      <w:r w:rsidR="0048780E" w:rsidRPr="00E03167">
        <w:rPr>
          <w:rFonts w:ascii="Times New Roman" w:hAnsi="Times New Roman" w:cs="Times New Roman"/>
        </w:rPr>
        <w:t>5</w:t>
      </w:r>
      <w:r w:rsidRPr="002C4E7D">
        <w:rPr>
          <w:rFonts w:ascii="Times New Roman" w:hAnsi="Times New Roman" w:cs="Times New Roman"/>
        </w:rPr>
        <w:t xml:space="preserve"> and </w:t>
      </w:r>
      <w:r w:rsidR="0048780E" w:rsidRPr="00E03167">
        <w:rPr>
          <w:rFonts w:ascii="Times New Roman" w:hAnsi="Times New Roman" w:cs="Times New Roman"/>
        </w:rPr>
        <w:t>20</w:t>
      </w:r>
      <w:r w:rsidRPr="002C4E7D">
        <w:rPr>
          <w:rFonts w:ascii="Times New Roman" w:hAnsi="Times New Roman" w:cs="Times New Roman"/>
        </w:rPr>
        <w:t xml:space="preserve"> percent of GDP, while outlays typically ranged from 20 to 25 percent, except during crisis years when spending spiked above 30 percent.</w:t>
      </w:r>
      <w:r w:rsidRPr="002C4E7D">
        <w:rPr>
          <w:rFonts w:ascii="Times New Roman" w:hAnsi="Times New Roman" w:cs="Times New Roman"/>
        </w:rPr>
        <w:br/>
        <w:t>Deficits therefore averaged around 5 percent of GDP, ballooning to nearly 15 percent in 2020, the largest shortfall since World War II.</w:t>
      </w:r>
    </w:p>
    <w:p w14:paraId="0EE3ECB9" w14:textId="77777777" w:rsidR="002C4E7D" w:rsidRPr="002C4E7D" w:rsidRDefault="002C4E7D" w:rsidP="002C4E7D">
      <w:pPr>
        <w:rPr>
          <w:rFonts w:ascii="Times New Roman" w:hAnsi="Times New Roman" w:cs="Times New Roman"/>
        </w:rPr>
      </w:pPr>
    </w:p>
    <w:p w14:paraId="3DE0B446" w14:textId="1BF4B397" w:rsidR="002C4E7D" w:rsidRPr="002C4E7D" w:rsidRDefault="002C4E7D" w:rsidP="002C4E7D">
      <w:pPr>
        <w:rPr>
          <w:rFonts w:ascii="Times New Roman" w:hAnsi="Times New Roman" w:cs="Times New Roman"/>
          <w:b/>
          <w:bCs/>
        </w:rPr>
      </w:pPr>
      <w:r w:rsidRPr="00E03167">
        <w:rPr>
          <w:rFonts w:ascii="Times New Roman" w:hAnsi="Times New Roman" w:cs="Times New Roman"/>
          <w:noProof/>
        </w:rPr>
        <w:drawing>
          <wp:anchor distT="0" distB="0" distL="114300" distR="114300" simplePos="0" relativeHeight="251658240" behindDoc="1" locked="0" layoutInCell="1" allowOverlap="1" wp14:anchorId="296EE14E" wp14:editId="2EF4F625">
            <wp:simplePos x="0" y="0"/>
            <wp:positionH relativeFrom="column">
              <wp:posOffset>2308860</wp:posOffset>
            </wp:positionH>
            <wp:positionV relativeFrom="paragraph">
              <wp:posOffset>291465</wp:posOffset>
            </wp:positionV>
            <wp:extent cx="4953000" cy="2267585"/>
            <wp:effectExtent l="0" t="0" r="0" b="0"/>
            <wp:wrapTight wrapText="bothSides">
              <wp:wrapPolygon edited="0">
                <wp:start x="0" y="0"/>
                <wp:lineTo x="0" y="21412"/>
                <wp:lineTo x="21517" y="21412"/>
                <wp:lineTo x="21517" y="0"/>
                <wp:lineTo x="0" y="0"/>
              </wp:wrapPolygon>
            </wp:wrapTight>
            <wp:docPr id="208813769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37695" name="Graphic 2088137695"/>
                    <pic:cNvPicPr/>
                  </pic:nvPicPr>
                  <pic:blipFill>
                    <a:blip r:embed="rId10">
                      <a:extLst>
                        <a:ext uri="{96DAC541-7B7A-43D3-8B79-37D633B846F1}">
                          <asvg:svgBlip xmlns:asvg="http://schemas.microsoft.com/office/drawing/2016/SVG/main" r:embed="rId11"/>
                        </a:ext>
                      </a:extLst>
                    </a:blip>
                    <a:stretch>
                      <a:fillRect/>
                    </a:stretch>
                  </pic:blipFill>
                  <pic:spPr>
                    <a:xfrm>
                      <a:off x="0" y="0"/>
                      <a:ext cx="4953000" cy="2267585"/>
                    </a:xfrm>
                    <a:prstGeom prst="rect">
                      <a:avLst/>
                    </a:prstGeom>
                  </pic:spPr>
                </pic:pic>
              </a:graphicData>
            </a:graphic>
            <wp14:sizeRelH relativeFrom="margin">
              <wp14:pctWidth>0</wp14:pctWidth>
            </wp14:sizeRelH>
            <wp14:sizeRelV relativeFrom="margin">
              <wp14:pctHeight>0</wp14:pctHeight>
            </wp14:sizeRelV>
          </wp:anchor>
        </w:drawing>
      </w:r>
      <w:r w:rsidRPr="002C4E7D">
        <w:rPr>
          <w:rFonts w:ascii="Times New Roman" w:hAnsi="Times New Roman" w:cs="Times New Roman"/>
          <w:b/>
          <w:bCs/>
        </w:rPr>
        <w:t>Where the Money Comes From: Receipts by Source</w:t>
      </w:r>
    </w:p>
    <w:p w14:paraId="7070B1FA" w14:textId="0F1E6426" w:rsidR="002C4E7D" w:rsidRPr="002C4E7D" w:rsidRDefault="002C4E7D" w:rsidP="002C4E7D">
      <w:pPr>
        <w:rPr>
          <w:rFonts w:ascii="Times New Roman" w:hAnsi="Times New Roman" w:cs="Times New Roman"/>
        </w:rPr>
      </w:pPr>
      <w:r w:rsidRPr="002C4E7D">
        <w:rPr>
          <w:rFonts w:ascii="Times New Roman" w:hAnsi="Times New Roman" w:cs="Times New Roman"/>
        </w:rPr>
        <w:t>Federal revenues are powered mainly by individual income taxes and social insurance and retirement contributions. Together, they make up roughly 80 percent of all federal receipts.</w:t>
      </w:r>
      <w:r w:rsidRPr="002C4E7D">
        <w:rPr>
          <w:rFonts w:ascii="Times New Roman" w:hAnsi="Times New Roman" w:cs="Times New Roman"/>
        </w:rPr>
        <w:br/>
        <w:t>Over time, corporate income taxes have shrunk as a share of total receipts, while other sources such as excise, customs, and estate taxes contribute only marginally.</w:t>
      </w:r>
    </w:p>
    <w:p w14:paraId="2E68A7C7" w14:textId="77777777" w:rsidR="002C4E7D" w:rsidRPr="002C4E7D" w:rsidRDefault="002C4E7D" w:rsidP="002C4E7D">
      <w:pPr>
        <w:rPr>
          <w:rFonts w:ascii="Times New Roman" w:hAnsi="Times New Roman" w:cs="Times New Roman"/>
        </w:rPr>
      </w:pPr>
      <w:r w:rsidRPr="002C4E7D">
        <w:rPr>
          <w:rFonts w:ascii="Times New Roman" w:hAnsi="Times New Roman" w:cs="Times New Roman"/>
        </w:rPr>
        <w:t>Despite fluctuations, the broad structure of U.S. taxation has remained stable. Households, not corporations, provide most of the federal revenue.</w:t>
      </w:r>
    </w:p>
    <w:p w14:paraId="7FF93CC1" w14:textId="113802E5" w:rsidR="002C4E7D" w:rsidRDefault="002C4E7D" w:rsidP="002C4E7D">
      <w:pPr>
        <w:rPr>
          <w:rFonts w:ascii="Times New Roman" w:hAnsi="Times New Roman" w:cs="Times New Roman"/>
        </w:rPr>
      </w:pPr>
    </w:p>
    <w:p w14:paraId="16D760D4" w14:textId="77777777" w:rsidR="00E03167" w:rsidRDefault="00E03167" w:rsidP="002C4E7D">
      <w:pPr>
        <w:rPr>
          <w:rFonts w:ascii="Times New Roman" w:hAnsi="Times New Roman" w:cs="Times New Roman"/>
        </w:rPr>
      </w:pPr>
    </w:p>
    <w:p w14:paraId="179CB28D" w14:textId="23A1CCBC" w:rsidR="002C4E7D" w:rsidRPr="002C4E7D" w:rsidRDefault="002C4E7D" w:rsidP="002C4E7D">
      <w:pPr>
        <w:rPr>
          <w:rFonts w:ascii="Times New Roman" w:hAnsi="Times New Roman" w:cs="Times New Roman"/>
          <w:b/>
          <w:bCs/>
        </w:rPr>
      </w:pPr>
      <w:r w:rsidRPr="002C4E7D">
        <w:rPr>
          <w:rFonts w:ascii="Times New Roman" w:hAnsi="Times New Roman" w:cs="Times New Roman"/>
          <w:b/>
          <w:bCs/>
        </w:rPr>
        <w:lastRenderedPageBreak/>
        <w:t>Long-Term Shifts in Revenue Composition</w:t>
      </w:r>
    </w:p>
    <w:p w14:paraId="717A7734" w14:textId="6E7B99BA" w:rsidR="002C4E7D" w:rsidRPr="002C4E7D" w:rsidRDefault="002C4E7D" w:rsidP="002C4E7D">
      <w:pPr>
        <w:rPr>
          <w:rFonts w:ascii="Times New Roman" w:hAnsi="Times New Roman" w:cs="Times New Roman"/>
        </w:rPr>
      </w:pPr>
      <w:r w:rsidRPr="00E03167">
        <w:rPr>
          <w:rFonts w:ascii="Times New Roman" w:hAnsi="Times New Roman" w:cs="Times New Roman"/>
          <w:noProof/>
        </w:rPr>
        <w:drawing>
          <wp:inline distT="0" distB="0" distL="0" distR="0" wp14:anchorId="16C57167" wp14:editId="5A97EE1F">
            <wp:extent cx="6858000" cy="2066290"/>
            <wp:effectExtent l="0" t="0" r="0" b="0"/>
            <wp:docPr id="3871167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1672" name="Graphic 38711672"/>
                    <pic:cNvPicPr/>
                  </pic:nvPicPr>
                  <pic:blipFill>
                    <a:blip r:embed="rId12">
                      <a:extLst>
                        <a:ext uri="{96DAC541-7B7A-43D3-8B79-37D633B846F1}">
                          <asvg:svgBlip xmlns:asvg="http://schemas.microsoft.com/office/drawing/2016/SVG/main" r:embed="rId13"/>
                        </a:ext>
                      </a:extLst>
                    </a:blip>
                    <a:stretch>
                      <a:fillRect/>
                    </a:stretch>
                  </pic:blipFill>
                  <pic:spPr>
                    <a:xfrm>
                      <a:off x="0" y="0"/>
                      <a:ext cx="6858000" cy="2066290"/>
                    </a:xfrm>
                    <a:prstGeom prst="rect">
                      <a:avLst/>
                    </a:prstGeom>
                  </pic:spPr>
                </pic:pic>
              </a:graphicData>
            </a:graphic>
          </wp:inline>
        </w:drawing>
      </w:r>
      <w:r w:rsidRPr="002C4E7D">
        <w:rPr>
          <w:rFonts w:ascii="Times New Roman" w:hAnsi="Times New Roman" w:cs="Times New Roman"/>
        </w:rPr>
        <w:br/>
        <w:t>Looking back over eight decades, the heatmap reveals how the balance among revenue sources has evolved.</w:t>
      </w:r>
      <w:r w:rsidRPr="002C4E7D">
        <w:rPr>
          <w:rFonts w:ascii="Times New Roman" w:hAnsi="Times New Roman" w:cs="Times New Roman"/>
        </w:rPr>
        <w:br/>
        <w:t>In the mid-20th century, corporate and excise taxes played larger roles.</w:t>
      </w:r>
      <w:r w:rsidRPr="002C4E7D">
        <w:rPr>
          <w:rFonts w:ascii="Times New Roman" w:hAnsi="Times New Roman" w:cs="Times New Roman"/>
        </w:rPr>
        <w:br/>
        <w:t>By the 1980s and beyond, individual income taxes dominate the federal revenue base, while social insurance contributions such as payroll taxes have steadily risen.</w:t>
      </w:r>
      <w:r w:rsidRPr="002C4E7D">
        <w:rPr>
          <w:rFonts w:ascii="Times New Roman" w:hAnsi="Times New Roman" w:cs="Times New Roman"/>
        </w:rPr>
        <w:br/>
        <w:t>This reflects an aging population and the financing needs of Social Security and Medicare.</w:t>
      </w:r>
    </w:p>
    <w:p w14:paraId="023BF7A3" w14:textId="42FA7C96" w:rsidR="002C4E7D" w:rsidRPr="00E03167" w:rsidRDefault="002C4E7D" w:rsidP="002C4E7D">
      <w:pPr>
        <w:rPr>
          <w:rFonts w:ascii="Times New Roman" w:hAnsi="Times New Roman" w:cs="Times New Roman"/>
        </w:rPr>
      </w:pPr>
    </w:p>
    <w:p w14:paraId="3C315EFA" w14:textId="77777777" w:rsidR="002C4E7D" w:rsidRPr="002C4E7D" w:rsidRDefault="002C4E7D" w:rsidP="002C4E7D">
      <w:pPr>
        <w:rPr>
          <w:rFonts w:ascii="Times New Roman" w:hAnsi="Times New Roman" w:cs="Times New Roman"/>
        </w:rPr>
      </w:pPr>
    </w:p>
    <w:p w14:paraId="5197D180" w14:textId="2681BBB7" w:rsidR="002C4E7D" w:rsidRPr="002C4E7D" w:rsidRDefault="002C4E7D" w:rsidP="002C4E7D">
      <w:pPr>
        <w:rPr>
          <w:rFonts w:ascii="Times New Roman" w:hAnsi="Times New Roman" w:cs="Times New Roman"/>
          <w:b/>
          <w:bCs/>
        </w:rPr>
      </w:pPr>
      <w:r w:rsidRPr="002C4E7D">
        <w:rPr>
          <w:rFonts w:ascii="Times New Roman" w:hAnsi="Times New Roman" w:cs="Times New Roman"/>
          <w:b/>
          <w:bCs/>
        </w:rPr>
        <w:t>How the Money Is Spent: Outlays by Function</w:t>
      </w:r>
    </w:p>
    <w:p w14:paraId="1B7DF466" w14:textId="3AF99917" w:rsidR="007D04B1" w:rsidRPr="00E03167" w:rsidRDefault="00BF120A" w:rsidP="002C4E7D">
      <w:pPr>
        <w:rPr>
          <w:rFonts w:ascii="Times New Roman" w:hAnsi="Times New Roman" w:cs="Times New Roman"/>
        </w:rPr>
      </w:pPr>
      <w:r w:rsidRPr="00E03167">
        <w:rPr>
          <w:rFonts w:ascii="Times New Roman" w:hAnsi="Times New Roman" w:cs="Times New Roman"/>
          <w:noProof/>
        </w:rPr>
        <w:drawing>
          <wp:anchor distT="0" distB="0" distL="114300" distR="114300" simplePos="0" relativeHeight="251659264" behindDoc="1" locked="0" layoutInCell="1" allowOverlap="1" wp14:anchorId="69B76983" wp14:editId="608E35A4">
            <wp:simplePos x="0" y="0"/>
            <wp:positionH relativeFrom="column">
              <wp:posOffset>2112010</wp:posOffset>
            </wp:positionH>
            <wp:positionV relativeFrom="paragraph">
              <wp:posOffset>32222</wp:posOffset>
            </wp:positionV>
            <wp:extent cx="5149850" cy="2384425"/>
            <wp:effectExtent l="0" t="0" r="0" b="0"/>
            <wp:wrapTight wrapText="bothSides">
              <wp:wrapPolygon edited="0">
                <wp:start x="0" y="0"/>
                <wp:lineTo x="0" y="21399"/>
                <wp:lineTo x="21493" y="21399"/>
                <wp:lineTo x="21493" y="0"/>
                <wp:lineTo x="0" y="0"/>
              </wp:wrapPolygon>
            </wp:wrapTight>
            <wp:docPr id="122606973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69735" name="Graphic 1226069735"/>
                    <pic:cNvPicPr/>
                  </pic:nvPicPr>
                  <pic:blipFill>
                    <a:blip r:embed="rId14">
                      <a:extLst>
                        <a:ext uri="{96DAC541-7B7A-43D3-8B79-37D633B846F1}">
                          <asvg:svgBlip xmlns:asvg="http://schemas.microsoft.com/office/drawing/2016/SVG/main" r:embed="rId15"/>
                        </a:ext>
                      </a:extLst>
                    </a:blip>
                    <a:stretch>
                      <a:fillRect/>
                    </a:stretch>
                  </pic:blipFill>
                  <pic:spPr>
                    <a:xfrm>
                      <a:off x="0" y="0"/>
                      <a:ext cx="5149850" cy="2384425"/>
                    </a:xfrm>
                    <a:prstGeom prst="rect">
                      <a:avLst/>
                    </a:prstGeom>
                  </pic:spPr>
                </pic:pic>
              </a:graphicData>
            </a:graphic>
            <wp14:sizeRelH relativeFrom="margin">
              <wp14:pctWidth>0</wp14:pctWidth>
            </wp14:sizeRelH>
            <wp14:sizeRelV relativeFrom="margin">
              <wp14:pctHeight>0</wp14:pctHeight>
            </wp14:sizeRelV>
          </wp:anchor>
        </w:drawing>
      </w:r>
      <w:r w:rsidRPr="00BF120A">
        <w:rPr>
          <w:rFonts w:ascii="Times New Roman" w:hAnsi="Times New Roman" w:cs="Times New Roman"/>
        </w:rPr>
        <w:t>If revenues tell us how the government earns, spending shows what it values.</w:t>
      </w:r>
      <w:r>
        <w:rPr>
          <w:rFonts w:ascii="Times New Roman" w:hAnsi="Times New Roman" w:cs="Times New Roman"/>
        </w:rPr>
        <w:t xml:space="preserve"> </w:t>
      </w:r>
      <w:r w:rsidR="007D04B1" w:rsidRPr="00E03167">
        <w:rPr>
          <w:rFonts w:ascii="Times New Roman" w:hAnsi="Times New Roman" w:cs="Times New Roman"/>
        </w:rPr>
        <w:t>Federal spending priorities have evolved over time. In 1980, Social Insurance programs such as Social Security already accounted for the largest share of total outlays, followed by Health and Medicare. Since then, these categories have continued to expand, while the share devoted to Defense has gradually declined.</w:t>
      </w:r>
    </w:p>
    <w:p w14:paraId="4BE88DB8" w14:textId="66D88547" w:rsidR="002C4E7D" w:rsidRPr="002C4E7D" w:rsidRDefault="002C4E7D" w:rsidP="002C4E7D">
      <w:pPr>
        <w:rPr>
          <w:rFonts w:ascii="Times New Roman" w:hAnsi="Times New Roman" w:cs="Times New Roman"/>
        </w:rPr>
      </w:pPr>
      <w:r w:rsidRPr="002C4E7D">
        <w:rPr>
          <w:rFonts w:ascii="Times New Roman" w:hAnsi="Times New Roman" w:cs="Times New Roman"/>
        </w:rPr>
        <w:t>Other functions such as education, infrastructure, and international affairs have declined in relative importance.</w:t>
      </w:r>
      <w:r w:rsidRPr="002C4E7D">
        <w:rPr>
          <w:rFonts w:ascii="Times New Roman" w:hAnsi="Times New Roman" w:cs="Times New Roman"/>
        </w:rPr>
        <w:br/>
        <w:t>Meanwhile, interest payments on debt have re-emerged as a growing fiscal pressure.</w:t>
      </w:r>
    </w:p>
    <w:p w14:paraId="3391AAC7" w14:textId="1F33A9CC" w:rsidR="002C4E7D" w:rsidRPr="00E03167" w:rsidRDefault="002C4E7D" w:rsidP="002C4E7D">
      <w:pPr>
        <w:rPr>
          <w:rFonts w:ascii="Times New Roman" w:hAnsi="Times New Roman" w:cs="Times New Roman"/>
        </w:rPr>
      </w:pPr>
    </w:p>
    <w:p w14:paraId="203490C1" w14:textId="77777777" w:rsidR="002C4E7D" w:rsidRPr="00E03167" w:rsidRDefault="002C4E7D" w:rsidP="002C4E7D">
      <w:pPr>
        <w:rPr>
          <w:rFonts w:ascii="Times New Roman" w:hAnsi="Times New Roman" w:cs="Times New Roman"/>
        </w:rPr>
      </w:pPr>
    </w:p>
    <w:p w14:paraId="2F3A7C7A" w14:textId="77777777" w:rsidR="002C4E7D" w:rsidRPr="00E03167" w:rsidRDefault="002C4E7D" w:rsidP="002C4E7D">
      <w:pPr>
        <w:rPr>
          <w:rFonts w:ascii="Times New Roman" w:hAnsi="Times New Roman" w:cs="Times New Roman"/>
        </w:rPr>
      </w:pPr>
    </w:p>
    <w:p w14:paraId="76517373" w14:textId="37318A5D" w:rsidR="002C4E7D" w:rsidRPr="002C4E7D" w:rsidRDefault="0048780E" w:rsidP="002C4E7D">
      <w:pPr>
        <w:rPr>
          <w:rFonts w:ascii="Times New Roman" w:hAnsi="Times New Roman" w:cs="Times New Roman"/>
          <w:b/>
          <w:bCs/>
        </w:rPr>
      </w:pPr>
      <w:r w:rsidRPr="00E03167">
        <w:rPr>
          <w:rFonts w:ascii="Times New Roman" w:hAnsi="Times New Roman" w:cs="Times New Roman"/>
          <w:noProof/>
        </w:rPr>
        <w:lastRenderedPageBreak/>
        <w:drawing>
          <wp:anchor distT="0" distB="0" distL="114300" distR="114300" simplePos="0" relativeHeight="251660288" behindDoc="1" locked="0" layoutInCell="1" allowOverlap="1" wp14:anchorId="5373EB0D" wp14:editId="54BD9586">
            <wp:simplePos x="0" y="0"/>
            <wp:positionH relativeFrom="column">
              <wp:posOffset>2243618</wp:posOffset>
            </wp:positionH>
            <wp:positionV relativeFrom="paragraph">
              <wp:posOffset>230505</wp:posOffset>
            </wp:positionV>
            <wp:extent cx="5071622" cy="2471596"/>
            <wp:effectExtent l="0" t="0" r="0" b="5080"/>
            <wp:wrapTight wrapText="bothSides">
              <wp:wrapPolygon edited="0">
                <wp:start x="0" y="0"/>
                <wp:lineTo x="0" y="21478"/>
                <wp:lineTo x="21503" y="21478"/>
                <wp:lineTo x="21503" y="0"/>
                <wp:lineTo x="0" y="0"/>
              </wp:wrapPolygon>
            </wp:wrapTight>
            <wp:docPr id="149707168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1681" name="Graphic 1497071681"/>
                    <pic:cNvPicPr/>
                  </pic:nvPicPr>
                  <pic:blipFill>
                    <a:blip r:embed="rId16">
                      <a:extLst>
                        <a:ext uri="{96DAC541-7B7A-43D3-8B79-37D633B846F1}">
                          <asvg:svgBlip xmlns:asvg="http://schemas.microsoft.com/office/drawing/2016/SVG/main" r:embed="rId17"/>
                        </a:ext>
                      </a:extLst>
                    </a:blip>
                    <a:stretch>
                      <a:fillRect/>
                    </a:stretch>
                  </pic:blipFill>
                  <pic:spPr>
                    <a:xfrm>
                      <a:off x="0" y="0"/>
                      <a:ext cx="5071622" cy="2471596"/>
                    </a:xfrm>
                    <a:prstGeom prst="rect">
                      <a:avLst/>
                    </a:prstGeom>
                  </pic:spPr>
                </pic:pic>
              </a:graphicData>
            </a:graphic>
            <wp14:sizeRelH relativeFrom="margin">
              <wp14:pctWidth>0</wp14:pctWidth>
            </wp14:sizeRelH>
            <wp14:sizeRelV relativeFrom="margin">
              <wp14:pctHeight>0</wp14:pctHeight>
            </wp14:sizeRelV>
          </wp:anchor>
        </w:drawing>
      </w:r>
      <w:r w:rsidR="002C4E7D" w:rsidRPr="002C4E7D">
        <w:rPr>
          <w:rFonts w:ascii="Times New Roman" w:hAnsi="Times New Roman" w:cs="Times New Roman"/>
          <w:b/>
          <w:bCs/>
        </w:rPr>
        <w:t>The Rising Tide of Federal Debt</w:t>
      </w:r>
    </w:p>
    <w:p w14:paraId="2DC6F6D8" w14:textId="26641B72" w:rsidR="002C4E7D" w:rsidRPr="002C4E7D" w:rsidRDefault="00BF120A" w:rsidP="002C4E7D">
      <w:pPr>
        <w:rPr>
          <w:rFonts w:ascii="Times New Roman" w:hAnsi="Times New Roman" w:cs="Times New Roman"/>
        </w:rPr>
      </w:pPr>
      <w:r w:rsidRPr="00BF120A">
        <w:rPr>
          <w:rFonts w:ascii="Times New Roman" w:hAnsi="Times New Roman" w:cs="Times New Roman"/>
        </w:rPr>
        <w:t>Persistent deficits accumulate into debt</w:t>
      </w:r>
      <w:r>
        <w:rPr>
          <w:rFonts w:ascii="Times New Roman" w:hAnsi="Times New Roman" w:cs="Times New Roman"/>
        </w:rPr>
        <w:t xml:space="preserve">. </w:t>
      </w:r>
      <w:r w:rsidR="002C4E7D" w:rsidRPr="002C4E7D">
        <w:rPr>
          <w:rFonts w:ascii="Times New Roman" w:hAnsi="Times New Roman" w:cs="Times New Roman"/>
        </w:rPr>
        <w:t>Gross federal debt has risen from less than 1 trillion dollars in 1980 to more than 35 trillion dollars in 2024.</w:t>
      </w:r>
      <w:r w:rsidR="002C4E7D" w:rsidRPr="002C4E7D">
        <w:rPr>
          <w:rFonts w:ascii="Times New Roman" w:hAnsi="Times New Roman" w:cs="Times New Roman"/>
        </w:rPr>
        <w:br/>
        <w:t>The stacked bars decompose debt held by Government Accounts, the Federal Reserve, and the Public.</w:t>
      </w:r>
    </w:p>
    <w:p w14:paraId="44F87DE2" w14:textId="77777777" w:rsidR="002C4E7D" w:rsidRPr="002C4E7D" w:rsidRDefault="002C4E7D" w:rsidP="002C4E7D">
      <w:pPr>
        <w:rPr>
          <w:rFonts w:ascii="Times New Roman" w:hAnsi="Times New Roman" w:cs="Times New Roman"/>
        </w:rPr>
      </w:pPr>
      <w:r w:rsidRPr="002C4E7D">
        <w:rPr>
          <w:rFonts w:ascii="Times New Roman" w:hAnsi="Times New Roman" w:cs="Times New Roman"/>
        </w:rPr>
        <w:t>Periods of accelerated borrowing align with major recessions and emergency spending in 2008–09 and 2020.</w:t>
      </w:r>
      <w:r w:rsidRPr="002C4E7D">
        <w:rPr>
          <w:rFonts w:ascii="Times New Roman" w:hAnsi="Times New Roman" w:cs="Times New Roman"/>
        </w:rPr>
        <w:br/>
        <w:t>The public’s share has increased substantially, showing how much U.S. debt is now financed through domestic and foreign investors rather than internal trust funds.</w:t>
      </w:r>
    </w:p>
    <w:p w14:paraId="0C021089" w14:textId="77777777" w:rsidR="002C4E7D" w:rsidRPr="002C4E7D" w:rsidRDefault="00000000" w:rsidP="002C4E7D">
      <w:pPr>
        <w:rPr>
          <w:rFonts w:ascii="Times New Roman" w:hAnsi="Times New Roman" w:cs="Times New Roman"/>
        </w:rPr>
      </w:pPr>
      <w:r>
        <w:rPr>
          <w:rFonts w:ascii="Times New Roman" w:hAnsi="Times New Roman" w:cs="Times New Roman"/>
        </w:rPr>
        <w:pict w14:anchorId="746172F6">
          <v:rect id="_x0000_i1026" style="width:0;height:1.5pt" o:hralign="center" o:hrstd="t" o:hr="t" fillcolor="#a0a0a0" stroked="f"/>
        </w:pict>
      </w:r>
    </w:p>
    <w:p w14:paraId="46410B8C" w14:textId="454CAD53" w:rsidR="002C4E7D" w:rsidRPr="002C4E7D" w:rsidRDefault="002C4E7D" w:rsidP="002C4E7D">
      <w:pPr>
        <w:rPr>
          <w:rFonts w:ascii="Times New Roman" w:hAnsi="Times New Roman" w:cs="Times New Roman"/>
          <w:b/>
          <w:bCs/>
        </w:rPr>
      </w:pPr>
      <w:r w:rsidRPr="002C4E7D">
        <w:rPr>
          <w:rFonts w:ascii="Times New Roman" w:hAnsi="Times New Roman" w:cs="Times New Roman"/>
          <w:b/>
          <w:bCs/>
        </w:rPr>
        <w:t>Who Owns the Federal Debt (2024 Snapshot)</w:t>
      </w:r>
    </w:p>
    <w:p w14:paraId="4864C10B" w14:textId="7D1AE385" w:rsidR="002C4E7D" w:rsidRPr="002C4E7D" w:rsidRDefault="002C4E7D" w:rsidP="002C4E7D">
      <w:pPr>
        <w:rPr>
          <w:rFonts w:ascii="Times New Roman" w:hAnsi="Times New Roman" w:cs="Times New Roman"/>
        </w:rPr>
      </w:pPr>
      <w:r w:rsidRPr="00E03167">
        <w:rPr>
          <w:rFonts w:ascii="Times New Roman" w:hAnsi="Times New Roman" w:cs="Times New Roman"/>
          <w:noProof/>
        </w:rPr>
        <w:drawing>
          <wp:anchor distT="0" distB="0" distL="114300" distR="114300" simplePos="0" relativeHeight="251661312" behindDoc="1" locked="0" layoutInCell="1" allowOverlap="1" wp14:anchorId="0BDB62A3" wp14:editId="30294CE4">
            <wp:simplePos x="0" y="0"/>
            <wp:positionH relativeFrom="column">
              <wp:posOffset>2175510</wp:posOffset>
            </wp:positionH>
            <wp:positionV relativeFrom="paragraph">
              <wp:posOffset>60253</wp:posOffset>
            </wp:positionV>
            <wp:extent cx="4895850" cy="3828415"/>
            <wp:effectExtent l="0" t="0" r="0" b="635"/>
            <wp:wrapTight wrapText="bothSides">
              <wp:wrapPolygon edited="0">
                <wp:start x="0" y="0"/>
                <wp:lineTo x="0" y="21496"/>
                <wp:lineTo x="21516" y="21496"/>
                <wp:lineTo x="21516" y="0"/>
                <wp:lineTo x="0" y="0"/>
              </wp:wrapPolygon>
            </wp:wrapTight>
            <wp:docPr id="850122867"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22867" name="Graphic 850122867"/>
                    <pic:cNvPicPr/>
                  </pic:nvPicPr>
                  <pic:blipFill>
                    <a:blip r:embed="rId18">
                      <a:extLst>
                        <a:ext uri="{96DAC541-7B7A-43D3-8B79-37D633B846F1}">
                          <asvg:svgBlip xmlns:asvg="http://schemas.microsoft.com/office/drawing/2016/SVG/main" r:embed="rId19"/>
                        </a:ext>
                      </a:extLst>
                    </a:blip>
                    <a:stretch>
                      <a:fillRect/>
                    </a:stretch>
                  </pic:blipFill>
                  <pic:spPr>
                    <a:xfrm>
                      <a:off x="0" y="0"/>
                      <a:ext cx="4895850" cy="3828415"/>
                    </a:xfrm>
                    <a:prstGeom prst="rect">
                      <a:avLst/>
                    </a:prstGeom>
                  </pic:spPr>
                </pic:pic>
              </a:graphicData>
            </a:graphic>
            <wp14:sizeRelH relativeFrom="margin">
              <wp14:pctWidth>0</wp14:pctWidth>
            </wp14:sizeRelH>
            <wp14:sizeRelV relativeFrom="margin">
              <wp14:pctHeight>0</wp14:pctHeight>
            </wp14:sizeRelV>
          </wp:anchor>
        </w:drawing>
      </w:r>
      <w:r w:rsidRPr="002C4E7D">
        <w:rPr>
          <w:rFonts w:ascii="Times New Roman" w:hAnsi="Times New Roman" w:cs="Times New Roman"/>
        </w:rPr>
        <w:t>As of 2024, the largest holders of U.S. federal debt include the Federal Reserve, foreign and international investors, and government accounts such as Social Security and federal employee retirement funds.</w:t>
      </w:r>
      <w:r w:rsidRPr="002C4E7D">
        <w:rPr>
          <w:rFonts w:ascii="Times New Roman" w:hAnsi="Times New Roman" w:cs="Times New Roman"/>
        </w:rPr>
        <w:br/>
        <w:t>Mutual funds, pension funds, and insurance companies also play notable roles, linking federal debt directly to the savings of ordinary Americans.</w:t>
      </w:r>
    </w:p>
    <w:p w14:paraId="5C4E8BE6" w14:textId="77777777" w:rsidR="002C4E7D" w:rsidRPr="002C4E7D" w:rsidRDefault="002C4E7D" w:rsidP="002C4E7D">
      <w:pPr>
        <w:rPr>
          <w:rFonts w:ascii="Times New Roman" w:hAnsi="Times New Roman" w:cs="Times New Roman"/>
        </w:rPr>
      </w:pPr>
      <w:r w:rsidRPr="002C4E7D">
        <w:rPr>
          <w:rFonts w:ascii="Times New Roman" w:hAnsi="Times New Roman" w:cs="Times New Roman"/>
        </w:rPr>
        <w:t>This broad ownership base helps stabilize the Treasury market, although it also means that any fiscal instability affects a wide range of institutions both at home and abroad.</w:t>
      </w:r>
    </w:p>
    <w:p w14:paraId="4C59ECA4" w14:textId="6B74AD8D" w:rsidR="002C4E7D" w:rsidRPr="00E03167" w:rsidRDefault="002C4E7D" w:rsidP="002C4E7D">
      <w:pPr>
        <w:rPr>
          <w:rFonts w:ascii="Times New Roman" w:hAnsi="Times New Roman" w:cs="Times New Roman"/>
        </w:rPr>
      </w:pPr>
    </w:p>
    <w:p w14:paraId="745C1452" w14:textId="77777777" w:rsidR="0048780E" w:rsidRPr="00E03167" w:rsidRDefault="0048780E" w:rsidP="002C4E7D">
      <w:pPr>
        <w:rPr>
          <w:rFonts w:ascii="Times New Roman" w:hAnsi="Times New Roman" w:cs="Times New Roman"/>
        </w:rPr>
      </w:pPr>
    </w:p>
    <w:p w14:paraId="756250F3" w14:textId="77777777" w:rsidR="0048780E" w:rsidRDefault="0048780E" w:rsidP="002C4E7D">
      <w:pPr>
        <w:rPr>
          <w:rFonts w:ascii="Times New Roman" w:hAnsi="Times New Roman" w:cs="Times New Roman"/>
        </w:rPr>
      </w:pPr>
    </w:p>
    <w:p w14:paraId="30D8339C" w14:textId="7632E12C" w:rsidR="002C4E7D" w:rsidRPr="002C4E7D" w:rsidRDefault="002C4E7D" w:rsidP="002C4E7D">
      <w:pPr>
        <w:rPr>
          <w:rFonts w:ascii="Times New Roman" w:hAnsi="Times New Roman" w:cs="Times New Roman"/>
          <w:b/>
          <w:bCs/>
        </w:rPr>
      </w:pPr>
      <w:r w:rsidRPr="002C4E7D">
        <w:rPr>
          <w:rFonts w:ascii="Times New Roman" w:hAnsi="Times New Roman" w:cs="Times New Roman"/>
          <w:b/>
          <w:bCs/>
        </w:rPr>
        <w:lastRenderedPageBreak/>
        <w:t>Federal Awards by State</w:t>
      </w:r>
    </w:p>
    <w:p w14:paraId="6A9AD510" w14:textId="3568DC4B" w:rsidR="00BF120A" w:rsidRPr="00BF120A" w:rsidRDefault="00BF120A" w:rsidP="00BF120A">
      <w:pPr>
        <w:rPr>
          <w:rFonts w:ascii="Times New Roman" w:hAnsi="Times New Roman" w:cs="Times New Roman"/>
        </w:rPr>
      </w:pPr>
      <w:r w:rsidRPr="00E03167">
        <w:rPr>
          <w:rFonts w:ascii="Times New Roman" w:hAnsi="Times New Roman" w:cs="Times New Roman"/>
          <w:noProof/>
        </w:rPr>
        <w:drawing>
          <wp:anchor distT="0" distB="0" distL="114300" distR="114300" simplePos="0" relativeHeight="251662336" behindDoc="1" locked="0" layoutInCell="1" allowOverlap="1" wp14:anchorId="623C4419" wp14:editId="777C51E7">
            <wp:simplePos x="0" y="0"/>
            <wp:positionH relativeFrom="column">
              <wp:posOffset>0</wp:posOffset>
            </wp:positionH>
            <wp:positionV relativeFrom="paragraph">
              <wp:posOffset>1152997</wp:posOffset>
            </wp:positionV>
            <wp:extent cx="6550660" cy="3550920"/>
            <wp:effectExtent l="0" t="0" r="2540" b="0"/>
            <wp:wrapTight wrapText="bothSides">
              <wp:wrapPolygon edited="0">
                <wp:start x="0" y="0"/>
                <wp:lineTo x="0" y="21438"/>
                <wp:lineTo x="21546" y="21438"/>
                <wp:lineTo x="21546" y="0"/>
                <wp:lineTo x="0" y="0"/>
              </wp:wrapPolygon>
            </wp:wrapTight>
            <wp:docPr id="956640051"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40051" name="Graphic 956640051"/>
                    <pic:cNvPicPr/>
                  </pic:nvPicPr>
                  <pic:blipFill>
                    <a:blip r:embed="rId20">
                      <a:extLst>
                        <a:ext uri="{96DAC541-7B7A-43D3-8B79-37D633B846F1}">
                          <asvg:svgBlip xmlns:asvg="http://schemas.microsoft.com/office/drawing/2016/SVG/main" r:embed="rId21"/>
                        </a:ext>
                      </a:extLst>
                    </a:blip>
                    <a:stretch>
                      <a:fillRect/>
                    </a:stretch>
                  </pic:blipFill>
                  <pic:spPr>
                    <a:xfrm>
                      <a:off x="0" y="0"/>
                      <a:ext cx="6550660" cy="3550920"/>
                    </a:xfrm>
                    <a:prstGeom prst="rect">
                      <a:avLst/>
                    </a:prstGeom>
                  </pic:spPr>
                </pic:pic>
              </a:graphicData>
            </a:graphic>
          </wp:anchor>
        </w:drawing>
      </w:r>
      <w:r w:rsidRPr="00BF120A">
        <w:rPr>
          <w:rFonts w:ascii="Times New Roman" w:hAnsi="Times New Roman" w:cs="Times New Roman"/>
        </w:rPr>
        <w:t>Finally, at the state level, the map illustrates how federal awards and contracts are distributed across the country.</w:t>
      </w:r>
      <w:r w:rsidRPr="00BF120A">
        <w:rPr>
          <w:rFonts w:ascii="Times New Roman" w:hAnsi="Times New Roman" w:cs="Times New Roman"/>
        </w:rPr>
        <w:br/>
        <w:t>The largest amounts flow to California, Texas, New York, and Florida, reflecting their population size, concentration of industries, and presence of major research and infrastructure projects.</w:t>
      </w:r>
      <w:r w:rsidRPr="00BF120A">
        <w:rPr>
          <w:rFonts w:ascii="Times New Roman" w:hAnsi="Times New Roman" w:cs="Times New Roman"/>
        </w:rPr>
        <w:br/>
        <w:t>Smaller states generally receive lower totals, though some benefit from strong federal, defense, or technology linkages.</w:t>
      </w:r>
    </w:p>
    <w:p w14:paraId="44D3BD56" w14:textId="64E4B7B7" w:rsidR="007D04B1" w:rsidRPr="00E03167" w:rsidRDefault="00000000">
      <w:pPr>
        <w:rPr>
          <w:rFonts w:ascii="Times New Roman" w:hAnsi="Times New Roman" w:cs="Times New Roman"/>
        </w:rPr>
      </w:pPr>
      <w:r>
        <w:rPr>
          <w:rFonts w:ascii="Times New Roman" w:hAnsi="Times New Roman" w:cs="Times New Roman"/>
        </w:rPr>
        <w:pict w14:anchorId="0A1352E7">
          <v:rect id="_x0000_i1027" style="width:0;height:1.5pt" o:hralign="center" o:hrstd="t" o:hr="t" fillcolor="#a0a0a0" stroked="f"/>
        </w:pict>
      </w:r>
    </w:p>
    <w:p w14:paraId="0733F299" w14:textId="7B2BFB3A" w:rsidR="007D04B1" w:rsidRDefault="00BF120A" w:rsidP="00BF120A">
      <w:pPr>
        <w:rPr>
          <w:rFonts w:ascii="Times New Roman" w:hAnsi="Times New Roman" w:cs="Times New Roman"/>
        </w:rPr>
      </w:pPr>
      <w:r w:rsidRPr="00BF120A">
        <w:rPr>
          <w:rFonts w:ascii="Times New Roman" w:hAnsi="Times New Roman" w:cs="Times New Roman"/>
        </w:rPr>
        <w:t xml:space="preserve">Together, these visualizations show how the federal government’s role in the economy has expanded and transformed over time. They trace the shift from defense-driven spending to programs that support health, income security, and social insurance. They also illustrate how persistent deficits have fueled rising public debt and how the ownership of that debt has diversified across domestic and international holders. </w:t>
      </w:r>
    </w:p>
    <w:p w14:paraId="4B8D5707" w14:textId="77777777" w:rsidR="0084390C" w:rsidRDefault="0084390C" w:rsidP="00BF120A">
      <w:pPr>
        <w:rPr>
          <w:rFonts w:ascii="Times New Roman" w:hAnsi="Times New Roman" w:cs="Times New Roman"/>
        </w:rPr>
      </w:pPr>
    </w:p>
    <w:p w14:paraId="7F6048CA" w14:textId="77777777" w:rsidR="00C349D0" w:rsidRDefault="00C349D0" w:rsidP="00BF120A">
      <w:pPr>
        <w:rPr>
          <w:rFonts w:ascii="Times New Roman" w:hAnsi="Times New Roman" w:cs="Times New Roman"/>
        </w:rPr>
      </w:pPr>
    </w:p>
    <w:p w14:paraId="34A932F3" w14:textId="77777777" w:rsidR="00C349D0" w:rsidRDefault="00C349D0" w:rsidP="00BF120A">
      <w:pPr>
        <w:rPr>
          <w:rFonts w:ascii="Times New Roman" w:hAnsi="Times New Roman" w:cs="Times New Roman"/>
        </w:rPr>
      </w:pPr>
    </w:p>
    <w:p w14:paraId="5A44C3ED" w14:textId="77777777" w:rsidR="00C349D0" w:rsidRDefault="00C349D0" w:rsidP="00BF120A">
      <w:pPr>
        <w:rPr>
          <w:rFonts w:ascii="Times New Roman" w:hAnsi="Times New Roman" w:cs="Times New Roman"/>
        </w:rPr>
      </w:pPr>
    </w:p>
    <w:p w14:paraId="4CA9B428" w14:textId="77777777" w:rsidR="00C349D0" w:rsidRDefault="00C349D0" w:rsidP="00BF120A">
      <w:pPr>
        <w:rPr>
          <w:rFonts w:ascii="Times New Roman" w:hAnsi="Times New Roman" w:cs="Times New Roman"/>
        </w:rPr>
      </w:pPr>
    </w:p>
    <w:p w14:paraId="06DA9B05" w14:textId="77777777" w:rsidR="00C349D0" w:rsidRDefault="00C349D0" w:rsidP="00BF120A">
      <w:pPr>
        <w:rPr>
          <w:rFonts w:ascii="Times New Roman" w:hAnsi="Times New Roman" w:cs="Times New Roman"/>
        </w:rPr>
      </w:pPr>
    </w:p>
    <w:p w14:paraId="59B22252" w14:textId="77777777" w:rsidR="00C349D0" w:rsidRDefault="00C349D0" w:rsidP="00BF120A">
      <w:pPr>
        <w:rPr>
          <w:rFonts w:ascii="Times New Roman" w:hAnsi="Times New Roman" w:cs="Times New Roman"/>
        </w:rPr>
      </w:pPr>
    </w:p>
    <w:p w14:paraId="7F5D9967" w14:textId="77777777" w:rsidR="00C349D0" w:rsidRPr="00C349D0" w:rsidRDefault="00C349D0" w:rsidP="00BF120A">
      <w:pPr>
        <w:rPr>
          <w:rFonts w:ascii="Times New Roman" w:hAnsi="Times New Roman" w:cs="Times New Roman"/>
        </w:rPr>
      </w:pPr>
    </w:p>
    <w:p w14:paraId="435BC3C9" w14:textId="77777777" w:rsidR="0084390C" w:rsidRPr="0084390C" w:rsidRDefault="0084390C" w:rsidP="0084390C">
      <w:pPr>
        <w:rPr>
          <w:rFonts w:ascii="Times New Roman" w:hAnsi="Times New Roman" w:cs="Times New Roman"/>
        </w:rPr>
      </w:pPr>
      <w:r w:rsidRPr="0084390C">
        <w:rPr>
          <w:rFonts w:ascii="Times New Roman" w:hAnsi="Times New Roman" w:cs="Times New Roman"/>
        </w:rPr>
        <w:lastRenderedPageBreak/>
        <w:t>Data Sources</w:t>
      </w:r>
    </w:p>
    <w:p w14:paraId="3272D794" w14:textId="77777777" w:rsidR="0084390C" w:rsidRPr="0084390C" w:rsidRDefault="0084390C" w:rsidP="0084390C">
      <w:pPr>
        <w:numPr>
          <w:ilvl w:val="0"/>
          <w:numId w:val="1"/>
        </w:numPr>
        <w:rPr>
          <w:rFonts w:ascii="Times New Roman" w:hAnsi="Times New Roman" w:cs="Times New Roman"/>
        </w:rPr>
      </w:pPr>
      <w:r w:rsidRPr="0084390C">
        <w:rPr>
          <w:rFonts w:ascii="Times New Roman" w:hAnsi="Times New Roman" w:cs="Times New Roman"/>
        </w:rPr>
        <w:t xml:space="preserve">Office of Management and Budget (OMB). </w:t>
      </w:r>
      <w:r w:rsidRPr="0084390C">
        <w:rPr>
          <w:rFonts w:ascii="Times New Roman" w:hAnsi="Times New Roman" w:cs="Times New Roman"/>
          <w:i/>
          <w:iCs/>
        </w:rPr>
        <w:t>Historical Tables, Budget of the U.S. Government.</w:t>
      </w:r>
      <w:r w:rsidRPr="0084390C">
        <w:rPr>
          <w:rFonts w:ascii="Times New Roman" w:hAnsi="Times New Roman" w:cs="Times New Roman"/>
        </w:rPr>
        <w:br/>
        <w:t>Data on federal revenues, outlays, and deficits were obtained from the OMB Historical Tables, available at:</w:t>
      </w:r>
      <w:r w:rsidRPr="0084390C">
        <w:rPr>
          <w:rFonts w:ascii="Times New Roman" w:hAnsi="Times New Roman" w:cs="Times New Roman"/>
        </w:rPr>
        <w:br/>
      </w:r>
      <w:hyperlink r:id="rId22" w:tgtFrame="_new" w:history="1">
        <w:r w:rsidRPr="0084390C">
          <w:rPr>
            <w:rStyle w:val="Hyperlink"/>
            <w:rFonts w:ascii="Times New Roman" w:hAnsi="Times New Roman" w:cs="Times New Roman"/>
          </w:rPr>
          <w:t>https://www.whitehouse.gov/omb/information-resources/budget/historical-tables/</w:t>
        </w:r>
      </w:hyperlink>
    </w:p>
    <w:p w14:paraId="7AC50F45" w14:textId="77777777" w:rsidR="0084390C" w:rsidRPr="0084390C" w:rsidRDefault="0084390C" w:rsidP="0084390C">
      <w:pPr>
        <w:numPr>
          <w:ilvl w:val="0"/>
          <w:numId w:val="1"/>
        </w:numPr>
        <w:rPr>
          <w:rFonts w:ascii="Times New Roman" w:hAnsi="Times New Roman" w:cs="Times New Roman"/>
        </w:rPr>
      </w:pPr>
      <w:r w:rsidRPr="0084390C">
        <w:rPr>
          <w:rFonts w:ascii="Times New Roman" w:hAnsi="Times New Roman" w:cs="Times New Roman"/>
        </w:rPr>
        <w:t xml:space="preserve">U.S. Department of the Treasury, Bureau of the Fiscal Service. </w:t>
      </w:r>
      <w:r w:rsidRPr="0084390C">
        <w:rPr>
          <w:rFonts w:ascii="Times New Roman" w:hAnsi="Times New Roman" w:cs="Times New Roman"/>
          <w:i/>
          <w:iCs/>
        </w:rPr>
        <w:t>Treasury Bulletin – Ownership of Federal Securities.</w:t>
      </w:r>
      <w:r w:rsidRPr="0084390C">
        <w:rPr>
          <w:rFonts w:ascii="Times New Roman" w:hAnsi="Times New Roman" w:cs="Times New Roman"/>
        </w:rPr>
        <w:br/>
        <w:t>Data on holders of U.S. Treasury securities were taken from the Treasury Bulletin, available at:</w:t>
      </w:r>
      <w:r w:rsidRPr="0084390C">
        <w:rPr>
          <w:rFonts w:ascii="Times New Roman" w:hAnsi="Times New Roman" w:cs="Times New Roman"/>
        </w:rPr>
        <w:br/>
      </w:r>
      <w:hyperlink r:id="rId23" w:tgtFrame="_new" w:history="1">
        <w:r w:rsidRPr="0084390C">
          <w:rPr>
            <w:rStyle w:val="Hyperlink"/>
            <w:rFonts w:ascii="Times New Roman" w:hAnsi="Times New Roman" w:cs="Times New Roman"/>
          </w:rPr>
          <w:t>https://www.fiscal.treasury.gov/reports-statements/treasury-bulletin/current.html</w:t>
        </w:r>
      </w:hyperlink>
    </w:p>
    <w:p w14:paraId="74E7C758" w14:textId="77777777" w:rsidR="0084390C" w:rsidRPr="0084390C" w:rsidRDefault="0084390C" w:rsidP="0084390C">
      <w:pPr>
        <w:numPr>
          <w:ilvl w:val="0"/>
          <w:numId w:val="1"/>
        </w:numPr>
        <w:rPr>
          <w:rFonts w:ascii="Times New Roman" w:hAnsi="Times New Roman" w:cs="Times New Roman"/>
        </w:rPr>
      </w:pPr>
      <w:r w:rsidRPr="0084390C">
        <w:rPr>
          <w:rFonts w:ascii="Times New Roman" w:hAnsi="Times New Roman" w:cs="Times New Roman"/>
        </w:rPr>
        <w:t xml:space="preserve">USAspending.gov. </w:t>
      </w:r>
      <w:r w:rsidRPr="0084390C">
        <w:rPr>
          <w:rFonts w:ascii="Times New Roman" w:hAnsi="Times New Roman" w:cs="Times New Roman"/>
          <w:i/>
          <w:iCs/>
        </w:rPr>
        <w:t>State Profiles and Federal Awards Data.</w:t>
      </w:r>
      <w:r w:rsidRPr="0084390C">
        <w:rPr>
          <w:rFonts w:ascii="Times New Roman" w:hAnsi="Times New Roman" w:cs="Times New Roman"/>
        </w:rPr>
        <w:br/>
        <w:t xml:space="preserve">Data on federal contract and award distributions by state were sourced from </w:t>
      </w:r>
      <w:proofErr w:type="spellStart"/>
      <w:r w:rsidRPr="0084390C">
        <w:rPr>
          <w:rFonts w:ascii="Times New Roman" w:hAnsi="Times New Roman" w:cs="Times New Roman"/>
        </w:rPr>
        <w:t>USAspending’s</w:t>
      </w:r>
      <w:proofErr w:type="spellEnd"/>
      <w:r w:rsidRPr="0084390C">
        <w:rPr>
          <w:rFonts w:ascii="Times New Roman" w:hAnsi="Times New Roman" w:cs="Times New Roman"/>
        </w:rPr>
        <w:t xml:space="preserve"> state-level datasets, available at:</w:t>
      </w:r>
      <w:r w:rsidRPr="0084390C">
        <w:rPr>
          <w:rFonts w:ascii="Times New Roman" w:hAnsi="Times New Roman" w:cs="Times New Roman"/>
        </w:rPr>
        <w:br/>
      </w:r>
      <w:hyperlink r:id="rId24" w:tgtFrame="_new" w:history="1">
        <w:r w:rsidRPr="0084390C">
          <w:rPr>
            <w:rStyle w:val="Hyperlink"/>
            <w:rFonts w:ascii="Times New Roman" w:hAnsi="Times New Roman" w:cs="Times New Roman"/>
          </w:rPr>
          <w:t>https://www.usaspending.gov/state</w:t>
        </w:r>
      </w:hyperlink>
    </w:p>
    <w:p w14:paraId="78F2146F" w14:textId="77777777" w:rsidR="0084390C" w:rsidRPr="00E03167" w:rsidRDefault="0084390C" w:rsidP="0084390C">
      <w:pPr>
        <w:rPr>
          <w:rFonts w:ascii="Times New Roman" w:hAnsi="Times New Roman" w:cs="Times New Roman"/>
        </w:rPr>
      </w:pPr>
    </w:p>
    <w:sectPr w:rsidR="0084390C" w:rsidRPr="00E03167" w:rsidSect="002C14D2">
      <w:pgSz w:w="12240" w:h="15840"/>
      <w:pgMar w:top="1008" w:right="720" w:bottom="100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90509"/>
    <w:multiLevelType w:val="multilevel"/>
    <w:tmpl w:val="92D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22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C3"/>
    <w:rsid w:val="001A3368"/>
    <w:rsid w:val="001F6F7F"/>
    <w:rsid w:val="002C14D2"/>
    <w:rsid w:val="002C2F81"/>
    <w:rsid w:val="002C4E7D"/>
    <w:rsid w:val="00380D8A"/>
    <w:rsid w:val="0048780E"/>
    <w:rsid w:val="004A0FC3"/>
    <w:rsid w:val="006674B0"/>
    <w:rsid w:val="007D04B1"/>
    <w:rsid w:val="0084390C"/>
    <w:rsid w:val="008F6A43"/>
    <w:rsid w:val="00B57E50"/>
    <w:rsid w:val="00BF120A"/>
    <w:rsid w:val="00C349D0"/>
    <w:rsid w:val="00D73034"/>
    <w:rsid w:val="00E03167"/>
    <w:rsid w:val="00F42A37"/>
    <w:rsid w:val="00F57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6749"/>
  <w15:chartTrackingRefBased/>
  <w15:docId w15:val="{B2F36967-E046-44FE-8B19-551A44D1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FC3"/>
    <w:rPr>
      <w:rFonts w:eastAsiaTheme="majorEastAsia" w:cstheme="majorBidi"/>
      <w:color w:val="272727" w:themeColor="text1" w:themeTint="D8"/>
    </w:rPr>
  </w:style>
  <w:style w:type="paragraph" w:styleId="Title">
    <w:name w:val="Title"/>
    <w:basedOn w:val="Normal"/>
    <w:next w:val="Normal"/>
    <w:link w:val="TitleChar"/>
    <w:uiPriority w:val="10"/>
    <w:qFormat/>
    <w:rsid w:val="004A0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FC3"/>
    <w:pPr>
      <w:spacing w:before="160"/>
      <w:jc w:val="center"/>
    </w:pPr>
    <w:rPr>
      <w:i/>
      <w:iCs/>
      <w:color w:val="404040" w:themeColor="text1" w:themeTint="BF"/>
    </w:rPr>
  </w:style>
  <w:style w:type="character" w:customStyle="1" w:styleId="QuoteChar">
    <w:name w:val="Quote Char"/>
    <w:basedOn w:val="DefaultParagraphFont"/>
    <w:link w:val="Quote"/>
    <w:uiPriority w:val="29"/>
    <w:rsid w:val="004A0FC3"/>
    <w:rPr>
      <w:i/>
      <w:iCs/>
      <w:color w:val="404040" w:themeColor="text1" w:themeTint="BF"/>
    </w:rPr>
  </w:style>
  <w:style w:type="paragraph" w:styleId="ListParagraph">
    <w:name w:val="List Paragraph"/>
    <w:basedOn w:val="Normal"/>
    <w:uiPriority w:val="34"/>
    <w:qFormat/>
    <w:rsid w:val="004A0FC3"/>
    <w:pPr>
      <w:ind w:left="720"/>
      <w:contextualSpacing/>
    </w:pPr>
  </w:style>
  <w:style w:type="character" w:styleId="IntenseEmphasis">
    <w:name w:val="Intense Emphasis"/>
    <w:basedOn w:val="DefaultParagraphFont"/>
    <w:uiPriority w:val="21"/>
    <w:qFormat/>
    <w:rsid w:val="004A0FC3"/>
    <w:rPr>
      <w:i/>
      <w:iCs/>
      <w:color w:val="0F4761" w:themeColor="accent1" w:themeShade="BF"/>
    </w:rPr>
  </w:style>
  <w:style w:type="paragraph" w:styleId="IntenseQuote">
    <w:name w:val="Intense Quote"/>
    <w:basedOn w:val="Normal"/>
    <w:next w:val="Normal"/>
    <w:link w:val="IntenseQuoteChar"/>
    <w:uiPriority w:val="30"/>
    <w:qFormat/>
    <w:rsid w:val="004A0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FC3"/>
    <w:rPr>
      <w:i/>
      <w:iCs/>
      <w:color w:val="0F4761" w:themeColor="accent1" w:themeShade="BF"/>
    </w:rPr>
  </w:style>
  <w:style w:type="character" w:styleId="IntenseReference">
    <w:name w:val="Intense Reference"/>
    <w:basedOn w:val="DefaultParagraphFont"/>
    <w:uiPriority w:val="32"/>
    <w:qFormat/>
    <w:rsid w:val="004A0FC3"/>
    <w:rPr>
      <w:b/>
      <w:bCs/>
      <w:smallCaps/>
      <w:color w:val="0F4761" w:themeColor="accent1" w:themeShade="BF"/>
      <w:spacing w:val="5"/>
    </w:rPr>
  </w:style>
  <w:style w:type="character" w:styleId="Hyperlink">
    <w:name w:val="Hyperlink"/>
    <w:basedOn w:val="DefaultParagraphFont"/>
    <w:uiPriority w:val="99"/>
    <w:unhideWhenUsed/>
    <w:rsid w:val="0084390C"/>
    <w:rPr>
      <w:color w:val="467886" w:themeColor="hyperlink"/>
      <w:u w:val="single"/>
    </w:rPr>
  </w:style>
  <w:style w:type="character" w:styleId="UnresolvedMention">
    <w:name w:val="Unresolved Mention"/>
    <w:basedOn w:val="DefaultParagraphFont"/>
    <w:uiPriority w:val="99"/>
    <w:semiHidden/>
    <w:unhideWhenUsed/>
    <w:rsid w:val="00843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0000">
      <w:bodyDiv w:val="1"/>
      <w:marLeft w:val="0"/>
      <w:marRight w:val="0"/>
      <w:marTop w:val="0"/>
      <w:marBottom w:val="0"/>
      <w:divBdr>
        <w:top w:val="none" w:sz="0" w:space="0" w:color="auto"/>
        <w:left w:val="none" w:sz="0" w:space="0" w:color="auto"/>
        <w:bottom w:val="none" w:sz="0" w:space="0" w:color="auto"/>
        <w:right w:val="none" w:sz="0" w:space="0" w:color="auto"/>
      </w:divBdr>
    </w:div>
    <w:div w:id="508643861">
      <w:bodyDiv w:val="1"/>
      <w:marLeft w:val="0"/>
      <w:marRight w:val="0"/>
      <w:marTop w:val="0"/>
      <w:marBottom w:val="0"/>
      <w:divBdr>
        <w:top w:val="none" w:sz="0" w:space="0" w:color="auto"/>
        <w:left w:val="none" w:sz="0" w:space="0" w:color="auto"/>
        <w:bottom w:val="none" w:sz="0" w:space="0" w:color="auto"/>
        <w:right w:val="none" w:sz="0" w:space="0" w:color="auto"/>
      </w:divBdr>
    </w:div>
    <w:div w:id="516777921">
      <w:bodyDiv w:val="1"/>
      <w:marLeft w:val="0"/>
      <w:marRight w:val="0"/>
      <w:marTop w:val="0"/>
      <w:marBottom w:val="0"/>
      <w:divBdr>
        <w:top w:val="none" w:sz="0" w:space="0" w:color="auto"/>
        <w:left w:val="none" w:sz="0" w:space="0" w:color="auto"/>
        <w:bottom w:val="none" w:sz="0" w:space="0" w:color="auto"/>
        <w:right w:val="none" w:sz="0" w:space="0" w:color="auto"/>
      </w:divBdr>
    </w:div>
    <w:div w:id="735519739">
      <w:bodyDiv w:val="1"/>
      <w:marLeft w:val="0"/>
      <w:marRight w:val="0"/>
      <w:marTop w:val="0"/>
      <w:marBottom w:val="0"/>
      <w:divBdr>
        <w:top w:val="none" w:sz="0" w:space="0" w:color="auto"/>
        <w:left w:val="none" w:sz="0" w:space="0" w:color="auto"/>
        <w:bottom w:val="none" w:sz="0" w:space="0" w:color="auto"/>
        <w:right w:val="none" w:sz="0" w:space="0" w:color="auto"/>
      </w:divBdr>
    </w:div>
    <w:div w:id="834103527">
      <w:bodyDiv w:val="1"/>
      <w:marLeft w:val="0"/>
      <w:marRight w:val="0"/>
      <w:marTop w:val="0"/>
      <w:marBottom w:val="0"/>
      <w:divBdr>
        <w:top w:val="none" w:sz="0" w:space="0" w:color="auto"/>
        <w:left w:val="none" w:sz="0" w:space="0" w:color="auto"/>
        <w:bottom w:val="none" w:sz="0" w:space="0" w:color="auto"/>
        <w:right w:val="none" w:sz="0" w:space="0" w:color="auto"/>
      </w:divBdr>
    </w:div>
    <w:div w:id="891036506">
      <w:bodyDiv w:val="1"/>
      <w:marLeft w:val="0"/>
      <w:marRight w:val="0"/>
      <w:marTop w:val="0"/>
      <w:marBottom w:val="0"/>
      <w:divBdr>
        <w:top w:val="none" w:sz="0" w:space="0" w:color="auto"/>
        <w:left w:val="none" w:sz="0" w:space="0" w:color="auto"/>
        <w:bottom w:val="none" w:sz="0" w:space="0" w:color="auto"/>
        <w:right w:val="none" w:sz="0" w:space="0" w:color="auto"/>
      </w:divBdr>
    </w:div>
    <w:div w:id="1048064316">
      <w:bodyDiv w:val="1"/>
      <w:marLeft w:val="0"/>
      <w:marRight w:val="0"/>
      <w:marTop w:val="0"/>
      <w:marBottom w:val="0"/>
      <w:divBdr>
        <w:top w:val="none" w:sz="0" w:space="0" w:color="auto"/>
        <w:left w:val="none" w:sz="0" w:space="0" w:color="auto"/>
        <w:bottom w:val="none" w:sz="0" w:space="0" w:color="auto"/>
        <w:right w:val="none" w:sz="0" w:space="0" w:color="auto"/>
      </w:divBdr>
    </w:div>
    <w:div w:id="1207647287">
      <w:bodyDiv w:val="1"/>
      <w:marLeft w:val="0"/>
      <w:marRight w:val="0"/>
      <w:marTop w:val="0"/>
      <w:marBottom w:val="0"/>
      <w:divBdr>
        <w:top w:val="none" w:sz="0" w:space="0" w:color="auto"/>
        <w:left w:val="none" w:sz="0" w:space="0" w:color="auto"/>
        <w:bottom w:val="none" w:sz="0" w:space="0" w:color="auto"/>
        <w:right w:val="none" w:sz="0" w:space="0" w:color="auto"/>
      </w:divBdr>
    </w:div>
    <w:div w:id="1347290030">
      <w:bodyDiv w:val="1"/>
      <w:marLeft w:val="0"/>
      <w:marRight w:val="0"/>
      <w:marTop w:val="0"/>
      <w:marBottom w:val="0"/>
      <w:divBdr>
        <w:top w:val="none" w:sz="0" w:space="0" w:color="auto"/>
        <w:left w:val="none" w:sz="0" w:space="0" w:color="auto"/>
        <w:bottom w:val="none" w:sz="0" w:space="0" w:color="auto"/>
        <w:right w:val="none" w:sz="0" w:space="0" w:color="auto"/>
      </w:divBdr>
    </w:div>
    <w:div w:id="1422607632">
      <w:bodyDiv w:val="1"/>
      <w:marLeft w:val="0"/>
      <w:marRight w:val="0"/>
      <w:marTop w:val="0"/>
      <w:marBottom w:val="0"/>
      <w:divBdr>
        <w:top w:val="none" w:sz="0" w:space="0" w:color="auto"/>
        <w:left w:val="none" w:sz="0" w:space="0" w:color="auto"/>
        <w:bottom w:val="none" w:sz="0" w:space="0" w:color="auto"/>
        <w:right w:val="none" w:sz="0" w:space="0" w:color="auto"/>
      </w:divBdr>
    </w:div>
    <w:div w:id="1957634265">
      <w:bodyDiv w:val="1"/>
      <w:marLeft w:val="0"/>
      <w:marRight w:val="0"/>
      <w:marTop w:val="0"/>
      <w:marBottom w:val="0"/>
      <w:divBdr>
        <w:top w:val="none" w:sz="0" w:space="0" w:color="auto"/>
        <w:left w:val="none" w:sz="0" w:space="0" w:color="auto"/>
        <w:bottom w:val="none" w:sz="0" w:space="0" w:color="auto"/>
        <w:right w:val="none" w:sz="0" w:space="0" w:color="auto"/>
      </w:divBdr>
    </w:div>
    <w:div w:id="1982618052">
      <w:bodyDiv w:val="1"/>
      <w:marLeft w:val="0"/>
      <w:marRight w:val="0"/>
      <w:marTop w:val="0"/>
      <w:marBottom w:val="0"/>
      <w:divBdr>
        <w:top w:val="none" w:sz="0" w:space="0" w:color="auto"/>
        <w:left w:val="none" w:sz="0" w:space="0" w:color="auto"/>
        <w:bottom w:val="none" w:sz="0" w:space="0" w:color="auto"/>
        <w:right w:val="none" w:sz="0" w:space="0" w:color="auto"/>
      </w:divBdr>
    </w:div>
    <w:div w:id="2040088145">
      <w:bodyDiv w:val="1"/>
      <w:marLeft w:val="0"/>
      <w:marRight w:val="0"/>
      <w:marTop w:val="0"/>
      <w:marBottom w:val="0"/>
      <w:divBdr>
        <w:top w:val="none" w:sz="0" w:space="0" w:color="auto"/>
        <w:left w:val="none" w:sz="0" w:space="0" w:color="auto"/>
        <w:bottom w:val="none" w:sz="0" w:space="0" w:color="auto"/>
        <w:right w:val="none" w:sz="0" w:space="0" w:color="auto"/>
      </w:divBdr>
    </w:div>
    <w:div w:id="2060473301">
      <w:bodyDiv w:val="1"/>
      <w:marLeft w:val="0"/>
      <w:marRight w:val="0"/>
      <w:marTop w:val="0"/>
      <w:marBottom w:val="0"/>
      <w:divBdr>
        <w:top w:val="none" w:sz="0" w:space="0" w:color="auto"/>
        <w:left w:val="none" w:sz="0" w:space="0" w:color="auto"/>
        <w:bottom w:val="none" w:sz="0" w:space="0" w:color="auto"/>
        <w:right w:val="none" w:sz="0" w:space="0" w:color="auto"/>
      </w:divBdr>
    </w:div>
    <w:div w:id="2082831864">
      <w:bodyDiv w:val="1"/>
      <w:marLeft w:val="0"/>
      <w:marRight w:val="0"/>
      <w:marTop w:val="0"/>
      <w:marBottom w:val="0"/>
      <w:divBdr>
        <w:top w:val="none" w:sz="0" w:space="0" w:color="auto"/>
        <w:left w:val="none" w:sz="0" w:space="0" w:color="auto"/>
        <w:bottom w:val="none" w:sz="0" w:space="0" w:color="auto"/>
        <w:right w:val="none" w:sz="0" w:space="0" w:color="auto"/>
      </w:divBdr>
    </w:div>
    <w:div w:id="213994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hyperlink" Target="https://www.usaspending.gov/state" TargetMode="External"/><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hyperlink" Target="https://www.fiscal.treasury.gov/reports-statements/treasury-bulletin/current.html?utm_source=chatgpt.com" TargetMode="External"/><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hyperlink" Target="https://www.whitehouse.gov/omb/information-resources/budget/historical-tabl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92F88-E854-4B4B-ADC6-AA5D79554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883</Words>
  <Characters>5221</Characters>
  <Application>Microsoft Office Word</Application>
  <DocSecurity>0</DocSecurity>
  <Lines>107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Raabiyaal Ishaq</dc:creator>
  <cp:keywords/>
  <dc:description/>
  <cp:lastModifiedBy>Raabiyaal Ishaq</cp:lastModifiedBy>
  <cp:revision>14</cp:revision>
  <cp:lastPrinted>2025-11-04T01:21:00Z</cp:lastPrinted>
  <dcterms:created xsi:type="dcterms:W3CDTF">2025-11-03T23:15:00Z</dcterms:created>
  <dcterms:modified xsi:type="dcterms:W3CDTF">2025-11-04T01:22:00Z</dcterms:modified>
</cp:coreProperties>
</file>