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0EB3" w14:textId="77777777" w:rsidR="009C221E" w:rsidRDefault="000F3C96">
      <w:pPr>
        <w:spacing w:after="160"/>
        <w:jc w:val="center"/>
      </w:pPr>
      <w:r>
        <w:rPr>
          <w:rFonts w:ascii="Times New Roman" w:hAnsi="Times New Roman"/>
          <w:b/>
          <w:color w:val="000000"/>
          <w:sz w:val="36"/>
        </w:rPr>
        <w:t>ISLE-IR: Hybrid Scientific Literature Search</w:t>
      </w:r>
      <w:r>
        <w:rPr>
          <w:rFonts w:ascii="Times New Roman" w:hAnsi="Times New Roman"/>
          <w:b/>
          <w:color w:val="000000"/>
          <w:sz w:val="36"/>
        </w:rPr>
        <w:br/>
        <w:t>with Topic Modeling and Knowledge Graph Exploration</w:t>
      </w:r>
    </w:p>
    <w:p w14:paraId="3250E316" w14:textId="77777777" w:rsidR="009C221E" w:rsidRDefault="000F3C96">
      <w:pPr>
        <w:spacing w:after="320"/>
        <w:jc w:val="center"/>
      </w:pPr>
      <w:r>
        <w:rPr>
          <w:rFonts w:ascii="Times New Roman" w:hAnsi="Times New Roman"/>
          <w:i/>
          <w:color w:val="000000"/>
          <w:sz w:val="20"/>
        </w:rPr>
        <w:t>Abubakar Ahmed (23K-0801)   ·   Raahim Irfan (23K-0837)   ·   Mujtaba Kamran (23K-0715)</w:t>
      </w:r>
      <w:r>
        <w:rPr>
          <w:rFonts w:ascii="Times New Roman" w:hAnsi="Times New Roman"/>
          <w:i/>
          <w:color w:val="000000"/>
          <w:sz w:val="20"/>
        </w:rPr>
        <w:br/>
        <w:t>Department of Computer Science — National University of Computer and Emerging Sciences</w:t>
      </w:r>
      <w:r>
        <w:rPr>
          <w:rFonts w:ascii="Times New Roman" w:hAnsi="Times New Roman"/>
          <w:i/>
          <w:color w:val="000000"/>
          <w:sz w:val="20"/>
        </w:rPr>
        <w:br/>
        <w:t>Reference: arXiv:2512.12760 — ISLE: An Information Systems Literature Explorer</w:t>
      </w:r>
    </w:p>
    <w:p w14:paraId="642498C8" w14:textId="77777777" w:rsidR="009C221E" w:rsidRDefault="009C221E"/>
    <w:p w14:paraId="6B063008" w14:textId="77777777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t>Abstract</w:t>
      </w:r>
    </w:p>
    <w:p w14:paraId="676D9B04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We present ISLE-IR, a hybrid scientific literature search system built over a 100,000-paper arXiv corpus. The system fuses BM25 lexical retrieval and SPECTER2 dense retrieval via Reciprocal Rank Fusion (RRF), followed by a cross-encoder reranker. Retrieved results are analysed with BERTopic (657 topics, C_V = 0.6623) and visualised through a heterogeneous knowledge graph and a six-tab Streamlit interface. An ablation study over 20 labelled queries shows that the full pipeline (BM25 + SPECTER2 + RRF + rerank</w:t>
      </w:r>
      <w:r>
        <w:rPr>
          <w:rFonts w:ascii="Times New Roman" w:hAnsi="Times New Roman"/>
          <w:color w:val="000000"/>
        </w:rPr>
        <w:t>er + query expansion) achieves MAP = 0.4191 and MRR = 0.6656, substantially outperforming either retriever alone. Bonus features include MMR diversity re-ranking, Rocchio relevance feedback, freshness boosting, and citation flow analysis.</w:t>
      </w:r>
    </w:p>
    <w:p w14:paraId="72E0C8E2" w14:textId="77777777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t>1.  Introduction</w:t>
      </w:r>
    </w:p>
    <w:p w14:paraId="34877D8A" w14:textId="77777777" w:rsidR="009C221E" w:rsidRDefault="000F3C96">
      <w:pPr>
        <w:spacing w:after="120"/>
        <w:ind w:firstLine="432"/>
        <w:jc w:val="both"/>
      </w:pPr>
      <w:r>
        <w:rPr>
          <w:rFonts w:ascii="Times New Roman" w:hAnsi="Times New Roman"/>
          <w:color w:val="000000"/>
        </w:rPr>
        <w:t>Scientific literature search requires systems that bridge lexical specificity and semantic understanding. Keyword-based systems miss papers that use different terminology; pure semantic systems lose precision on exact technical terms. This project implements the architecture described in the ISLE paper (arXiv:2512.12760): a hybrid retrieval pipeline that combines both modalities, applies neural reranking, and exposes the result set through topic clusters and a knowledge graph.</w:t>
      </w:r>
    </w:p>
    <w:p w14:paraId="4CE7DF4A" w14:textId="77777777" w:rsidR="009C221E" w:rsidRDefault="000F3C96">
      <w:pPr>
        <w:spacing w:after="120"/>
        <w:ind w:firstLine="432"/>
        <w:jc w:val="both"/>
      </w:pPr>
      <w:r>
        <w:rPr>
          <w:rFonts w:ascii="Times New Roman" w:hAnsi="Times New Roman"/>
          <w:color w:val="000000"/>
        </w:rPr>
        <w:t>The system is implemented as a fully-functional application running on a 100k-paper arXiv corpus (cs.* categories, 2007–2026) enriched with citation and institution metadata from the OpenAlex API. All components — retrieval, topic modeling, graph construction, and the user interface — were built from scratch over a five-week timeline by a three-person team, with each teammate owning a defined module set and adhering to strict interface contracts.</w:t>
      </w:r>
    </w:p>
    <w:p w14:paraId="766DF0A6" w14:textId="77777777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t>2.  Background and Related Work</w:t>
      </w:r>
    </w:p>
    <w:p w14:paraId="72B5F72E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2.1  Lexical Retrieval</w:t>
      </w:r>
    </w:p>
    <w:p w14:paraId="49D888AF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BM25 is a probabilistic term-frequency model (Robertson &amp; Zaragoza, 2009) that weights query terms by IDF and normalises document length. It excels at exact terminology match but is insensitive to vocabulary mismatch — searching for 'transformer' will not match a paper that exclusively uses 'self-attention encoder'. We use the bm25s library with Porter2 stemming and stopword removal.</w:t>
      </w:r>
    </w:p>
    <w:p w14:paraId="13008DD9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2.2  Dense Retrieval</w:t>
      </w:r>
    </w:p>
    <w:p w14:paraId="174E835E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lastRenderedPageBreak/>
        <w:t>Dense retrieval encodes queries and documents into a shared embedding space. SPECTER2 (Cohan et al., 2022) is fine-tuned on citation pairs as contrastive positives, making it well-suited to scientific text. We encode all 100,000 papers into 768-dimensional L2-normalised vectors stored in a FAISS IndexFlatIP index, enabling cosine similarity search in sub-10ms at query time.</w:t>
      </w:r>
    </w:p>
    <w:p w14:paraId="3A127634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2.3  Reciprocal Rank Fusion</w:t>
      </w:r>
    </w:p>
    <w:p w14:paraId="714D868C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RRF (Cormack et al., 2009) combines ranked lists without requiring score normalisation:</w:t>
      </w:r>
    </w:p>
    <w:p w14:paraId="462FAB03" w14:textId="77777777" w:rsidR="009C221E" w:rsidRDefault="000F3C96">
      <w:pPr>
        <w:spacing w:before="80" w:after="80"/>
        <w:jc w:val="center"/>
      </w:pPr>
      <w:r>
        <w:rPr>
          <w:rFonts w:ascii="Times New Roman" w:hAnsi="Times New Roman"/>
          <w:i/>
          <w:color w:val="000000"/>
        </w:rPr>
        <w:t>RRF(d) = Σ_r  1 / (k + rank_r(d))     k = 60</w:t>
      </w:r>
    </w:p>
    <w:p w14:paraId="2DC05933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The constant k = 60 is the value recommended by the original authors as consistently robust across retrieval tasks. RRF is parameter-light and outperforms linear score combination in our ablation.</w:t>
      </w:r>
    </w:p>
    <w:p w14:paraId="472ABB77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2.4  Topic Modeling</w:t>
      </w:r>
    </w:p>
    <w:p w14:paraId="4D669813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BERTopic (Grootendorst, 2022) applies UMAP dimensionality reduction followed by HDBSCAN density clustering and c-TF-IDF cluster term weighting. We use NMF over TF-IDF as a lighter, more interpretable baseline. Both models are trained offline on the full corpus; at query time, topics are assigned via transform() using precomputed SPECTER2 embeddings.</w:t>
      </w:r>
    </w:p>
    <w:p w14:paraId="73E4F48E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2.5  Knowledge Graph</w:t>
      </w:r>
    </w:p>
    <w:p w14:paraId="3186DBC1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We build a heterogeneous NetworkX DiGraph with node types paper, author, institution, country, year, and topic, connected by typed edges (authored, affiliated_with, cites, published_in, belongs_to_topic). PageRank and betweenness centrality identify influential and bridge papers within each query's result set.</w:t>
      </w:r>
    </w:p>
    <w:p w14:paraId="1DA951CF" w14:textId="77777777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t>3.  System Architecture</w:t>
      </w:r>
    </w:p>
    <w:p w14:paraId="03B42BC0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The full pipeline is illustrated in Figure 1. A natural-language query is optionally expanded (WordNet synonyms + pseudo-relevance feedback), passed in parallel to BM25 and FAISS, fused by RRF, reranked by a cross-encoder, and then processed by BERTopic and the knowledge graph builder before rendering in the Streamlit interface.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22"/>
      </w:tblGrid>
      <w:tr w:rsidR="009C221E" w14:paraId="1F715BDA" w14:textId="77777777">
        <w:trPr>
          <w:jc w:val="center"/>
        </w:trPr>
        <w:tc>
          <w:tcPr>
            <w:tcW w:w="9122" w:type="dxa"/>
            <w:shd w:val="clear" w:color="auto" w:fill="F0F0F0"/>
          </w:tcPr>
          <w:p w14:paraId="31FF050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User Query (natural language)</w:t>
            </w:r>
          </w:p>
        </w:tc>
      </w:tr>
      <w:tr w:rsidR="009C221E" w14:paraId="7E93D0D2" w14:textId="77777777">
        <w:trPr>
          <w:jc w:val="center"/>
        </w:trPr>
        <w:tc>
          <w:tcPr>
            <w:tcW w:w="9122" w:type="dxa"/>
            <w:shd w:val="clear" w:color="auto" w:fill="FFFFFF"/>
          </w:tcPr>
          <w:p w14:paraId="5ADD8067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Query Expansion  —  WordNet synonyms + Pseudo-Relevance Feedback  (Week 8)</w:t>
            </w:r>
          </w:p>
        </w:tc>
      </w:tr>
      <w:tr w:rsidR="009C221E" w14:paraId="477912BA" w14:textId="77777777">
        <w:trPr>
          <w:jc w:val="center"/>
        </w:trPr>
        <w:tc>
          <w:tcPr>
            <w:tcW w:w="9122" w:type="dxa"/>
            <w:shd w:val="clear" w:color="auto" w:fill="F0F0F0"/>
          </w:tcPr>
          <w:p w14:paraId="07BF0D97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BM25 Lexical (top-100)               ‖               SPECTER2 Dense / FAISS (top-100)</w:t>
            </w:r>
          </w:p>
        </w:tc>
      </w:tr>
      <w:tr w:rsidR="009C221E" w14:paraId="71F08DBD" w14:textId="77777777">
        <w:trPr>
          <w:jc w:val="center"/>
        </w:trPr>
        <w:tc>
          <w:tcPr>
            <w:tcW w:w="9122" w:type="dxa"/>
            <w:shd w:val="clear" w:color="auto" w:fill="FFFFFF"/>
          </w:tcPr>
          <w:p w14:paraId="0AD03E3E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Reciprocal Rank Fusion  k = 60  (top-50)</w:t>
            </w:r>
          </w:p>
        </w:tc>
      </w:tr>
      <w:tr w:rsidR="009C221E" w14:paraId="58E1F6A9" w14:textId="77777777">
        <w:trPr>
          <w:jc w:val="center"/>
        </w:trPr>
        <w:tc>
          <w:tcPr>
            <w:tcW w:w="9122" w:type="dxa"/>
            <w:shd w:val="clear" w:color="auto" w:fill="F0F0F0"/>
          </w:tcPr>
          <w:p w14:paraId="347A74D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Cross-Encoder Reranker  ms-marco-MiniLM-L-6-v2  (top-20)</w:t>
            </w:r>
          </w:p>
        </w:tc>
      </w:tr>
      <w:tr w:rsidR="009C221E" w14:paraId="487970AB" w14:textId="77777777">
        <w:trPr>
          <w:jc w:val="center"/>
        </w:trPr>
        <w:tc>
          <w:tcPr>
            <w:tcW w:w="9122" w:type="dxa"/>
            <w:shd w:val="clear" w:color="auto" w:fill="FFFFFF"/>
          </w:tcPr>
          <w:p w14:paraId="6FC089F5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BERTopic Topic Modeling               ‖               Knowledge Graph Builder</w:t>
            </w:r>
          </w:p>
        </w:tc>
      </w:tr>
      <w:tr w:rsidR="009C221E" w14:paraId="4C1C6032" w14:textId="77777777">
        <w:trPr>
          <w:jc w:val="center"/>
        </w:trPr>
        <w:tc>
          <w:tcPr>
            <w:tcW w:w="9122" w:type="dxa"/>
            <w:shd w:val="clear" w:color="auto" w:fill="F0F0F0"/>
          </w:tcPr>
          <w:p w14:paraId="75E422EA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Streamlit UI  —  Results · Topics · KG · Analytics · Collaboration · Semantic Map</w:t>
            </w:r>
          </w:p>
        </w:tc>
      </w:tr>
    </w:tbl>
    <w:p w14:paraId="77A33B4C" w14:textId="77777777" w:rsidR="009C221E" w:rsidRDefault="009C221E"/>
    <w:p w14:paraId="4C26CA58" w14:textId="77777777" w:rsidR="009C221E" w:rsidRDefault="000F3C96">
      <w:pPr>
        <w:jc w:val="center"/>
      </w:pPr>
      <w:r>
        <w:rPr>
          <w:rFonts w:ascii="Times New Roman" w:hAnsi="Times New Roman"/>
          <w:i/>
          <w:color w:val="000000"/>
          <w:sz w:val="18"/>
        </w:rPr>
        <w:t>Figure 1.  ISLE-IR retrieval and analysis pipeline.</w:t>
      </w:r>
    </w:p>
    <w:p w14:paraId="072D7600" w14:textId="77777777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lastRenderedPageBreak/>
        <w:t>4.  Implementation</w:t>
      </w:r>
    </w:p>
    <w:p w14:paraId="7614A448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4.1  Corpus and Indexing</w:t>
      </w:r>
    </w:p>
    <w:p w14:paraId="10EF4689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The corpus was built from the arXiv Kaggle snapshot (cs.* categories) and enriched with citation counts, institution affiliations, and reference lists via the OpenAlex API. Table 1 summarises the key corpus statistics.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C221E" w14:paraId="17E0BCD0" w14:textId="77777777">
        <w:trPr>
          <w:jc w:val="center"/>
        </w:trPr>
        <w:tc>
          <w:tcPr>
            <w:tcW w:w="4320" w:type="dxa"/>
            <w:shd w:val="clear" w:color="auto" w:fill="202020"/>
            <w:vAlign w:val="center"/>
          </w:tcPr>
          <w:p w14:paraId="4671AA4B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Property</w:t>
            </w:r>
          </w:p>
        </w:tc>
        <w:tc>
          <w:tcPr>
            <w:tcW w:w="4320" w:type="dxa"/>
            <w:shd w:val="clear" w:color="auto" w:fill="202020"/>
            <w:vAlign w:val="center"/>
          </w:tcPr>
          <w:p w14:paraId="119EE5C0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Value</w:t>
            </w:r>
          </w:p>
        </w:tc>
      </w:tr>
      <w:tr w:rsidR="009C221E" w14:paraId="0A499106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23B824AC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Total papers</w:t>
            </w:r>
          </w:p>
        </w:tc>
        <w:tc>
          <w:tcPr>
            <w:tcW w:w="4320" w:type="dxa"/>
            <w:shd w:val="clear" w:color="auto" w:fill="F0F0F0"/>
          </w:tcPr>
          <w:p w14:paraId="6A639B4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100,000</w:t>
            </w:r>
          </w:p>
        </w:tc>
      </w:tr>
      <w:tr w:rsidR="009C221E" w14:paraId="6F4EEE36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434D418F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Year range</w:t>
            </w:r>
          </w:p>
        </w:tc>
        <w:tc>
          <w:tcPr>
            <w:tcW w:w="4320" w:type="dxa"/>
            <w:shd w:val="clear" w:color="auto" w:fill="FFFFFF"/>
          </w:tcPr>
          <w:p w14:paraId="05D8F580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2007 – 2026</w:t>
            </w:r>
          </w:p>
        </w:tc>
      </w:tr>
      <w:tr w:rsidR="009C221E" w14:paraId="5ECFF8E5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42158F18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Parquet file size</w:t>
            </w:r>
          </w:p>
        </w:tc>
        <w:tc>
          <w:tcPr>
            <w:tcW w:w="4320" w:type="dxa"/>
            <w:shd w:val="clear" w:color="auto" w:fill="F0F0F0"/>
          </w:tcPr>
          <w:p w14:paraId="501F60C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118 MB</w:t>
            </w:r>
          </w:p>
        </w:tc>
      </w:tr>
      <w:tr w:rsidR="009C221E" w14:paraId="64FCE9D4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6B8C6425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Papers with publisher DOI</w:t>
            </w:r>
          </w:p>
        </w:tc>
        <w:tc>
          <w:tcPr>
            <w:tcW w:w="4320" w:type="dxa"/>
            <w:shd w:val="clear" w:color="auto" w:fill="FFFFFF"/>
          </w:tcPr>
          <w:p w14:paraId="03EAE26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24,869  (24.9%)</w:t>
            </w:r>
          </w:p>
        </w:tc>
      </w:tr>
      <w:tr w:rsidR="009C221E" w14:paraId="076F6810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55A34461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Papers with citation count &gt; 0</w:t>
            </w:r>
          </w:p>
        </w:tc>
        <w:tc>
          <w:tcPr>
            <w:tcW w:w="4320" w:type="dxa"/>
            <w:shd w:val="clear" w:color="auto" w:fill="F0F0F0"/>
          </w:tcPr>
          <w:p w14:paraId="7383195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5,759  (5.8%)</w:t>
            </w:r>
          </w:p>
        </w:tc>
      </w:tr>
      <w:tr w:rsidR="009C221E" w14:paraId="3FFC6F19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57F7D84C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Max citation count (XGBoost, 2016)</w:t>
            </w:r>
          </w:p>
        </w:tc>
        <w:tc>
          <w:tcPr>
            <w:tcW w:w="4320" w:type="dxa"/>
            <w:shd w:val="clear" w:color="auto" w:fill="FFFFFF"/>
          </w:tcPr>
          <w:p w14:paraId="5A31B51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47,311</w:t>
            </w:r>
          </w:p>
        </w:tc>
      </w:tr>
      <w:tr w:rsidR="009C221E" w14:paraId="51A681BD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523ED9B6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Papers with institution metadata</w:t>
            </w:r>
          </w:p>
        </w:tc>
        <w:tc>
          <w:tcPr>
            <w:tcW w:w="4320" w:type="dxa"/>
            <w:shd w:val="clear" w:color="auto" w:fill="F0F0F0"/>
          </w:tcPr>
          <w:p w14:paraId="50330DD5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5,465  (5.5%)</w:t>
            </w:r>
          </w:p>
        </w:tc>
      </w:tr>
    </w:tbl>
    <w:p w14:paraId="7BCC15EF" w14:textId="77777777" w:rsidR="009C221E" w:rsidRDefault="009C221E"/>
    <w:p w14:paraId="5F726FB4" w14:textId="77777777" w:rsidR="009C221E" w:rsidRDefault="000F3C96">
      <w:pPr>
        <w:jc w:val="center"/>
      </w:pPr>
      <w:r>
        <w:rPr>
          <w:rFonts w:ascii="Times New Roman" w:hAnsi="Times New Roman"/>
          <w:i/>
          <w:color w:val="000000"/>
          <w:sz w:val="18"/>
        </w:rPr>
        <w:t>Table 1.  Corpus statistics.  Citation coverage reflects OpenAlex DOI-match rate.</w:t>
      </w:r>
    </w:p>
    <w:p w14:paraId="44342C39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4.2  Retrieval Indexes</w:t>
      </w:r>
    </w:p>
    <w:p w14:paraId="20916CC3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BM25 was indexed with bm25s (v0.2) using Porter2 stemming and English stopwords. The FAISS index encodes all 100,000 papers as 768-dimensional SPECTER2 vectors using IndexFlatIP on L2-normalised embeddings, enabling exact cosine similarity search without quantisation loss. Both indexes are persisted to disk and loaded at startup.</w:t>
      </w:r>
    </w:p>
    <w:p w14:paraId="06063774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4.3  BERTopic Model</w:t>
      </w:r>
    </w:p>
    <w:p w14:paraId="378A22FA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BERTopic was fitted offline on the full 100,000-paper corpus using precomputed SPECTER2 embeddings (no re-encoding at fit time), UMAP (n_neighbors=15, n_components=5, cosine metric), HDBSCAN (min_cluster_size=15), and c-TF-IDF for topic representation. Table 2 shows the resulting topic model statistics.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C221E" w14:paraId="0B1DC05E" w14:textId="77777777">
        <w:trPr>
          <w:jc w:val="center"/>
        </w:trPr>
        <w:tc>
          <w:tcPr>
            <w:tcW w:w="4320" w:type="dxa"/>
            <w:shd w:val="clear" w:color="auto" w:fill="202020"/>
            <w:vAlign w:val="center"/>
          </w:tcPr>
          <w:p w14:paraId="496C8F6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Property</w:t>
            </w:r>
          </w:p>
        </w:tc>
        <w:tc>
          <w:tcPr>
            <w:tcW w:w="4320" w:type="dxa"/>
            <w:shd w:val="clear" w:color="auto" w:fill="202020"/>
            <w:vAlign w:val="center"/>
          </w:tcPr>
          <w:p w14:paraId="64C59624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Value</w:t>
            </w:r>
          </w:p>
        </w:tc>
      </w:tr>
      <w:tr w:rsidR="009C221E" w14:paraId="1AC0ED85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0F698F19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Number of topics</w:t>
            </w:r>
          </w:p>
        </w:tc>
        <w:tc>
          <w:tcPr>
            <w:tcW w:w="4320" w:type="dxa"/>
            <w:shd w:val="clear" w:color="auto" w:fill="F0F0F0"/>
          </w:tcPr>
          <w:p w14:paraId="5FA3675B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657</w:t>
            </w:r>
          </w:p>
        </w:tc>
      </w:tr>
      <w:tr w:rsidR="009C221E" w14:paraId="730AF24C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7664CA86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Topic coherence C_V</w:t>
            </w:r>
          </w:p>
        </w:tc>
        <w:tc>
          <w:tcPr>
            <w:tcW w:w="4320" w:type="dxa"/>
            <w:shd w:val="clear" w:color="auto" w:fill="FFFFFF"/>
          </w:tcPr>
          <w:p w14:paraId="13BA744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0.6623</w:t>
            </w:r>
          </w:p>
        </w:tc>
      </w:tr>
      <w:tr w:rsidR="009C221E" w14:paraId="56AC9908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05FE4426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Papers assigned to topics</w:t>
            </w:r>
          </w:p>
        </w:tc>
        <w:tc>
          <w:tcPr>
            <w:tcW w:w="4320" w:type="dxa"/>
            <w:shd w:val="clear" w:color="auto" w:fill="F0F0F0"/>
          </w:tcPr>
          <w:p w14:paraId="0689271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55,250  (55.3%)</w:t>
            </w:r>
          </w:p>
        </w:tc>
      </w:tr>
      <w:tr w:rsidR="009C221E" w14:paraId="7008B65F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3677AA4A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Outlier papers (topic −1)</w:t>
            </w:r>
          </w:p>
        </w:tc>
        <w:tc>
          <w:tcPr>
            <w:tcW w:w="4320" w:type="dxa"/>
            <w:shd w:val="clear" w:color="auto" w:fill="FFFFFF"/>
          </w:tcPr>
          <w:p w14:paraId="27CC9F51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44,750  (44.7%)</w:t>
            </w:r>
          </w:p>
        </w:tc>
      </w:tr>
      <w:tr w:rsidR="009C221E" w14:paraId="514681E7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19495373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Average papers per topic</w:t>
            </w:r>
          </w:p>
        </w:tc>
        <w:tc>
          <w:tcPr>
            <w:tcW w:w="4320" w:type="dxa"/>
            <w:shd w:val="clear" w:color="auto" w:fill="F0F0F0"/>
          </w:tcPr>
          <w:p w14:paraId="2D131CD9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84.1</w:t>
            </w:r>
          </w:p>
        </w:tc>
      </w:tr>
      <w:tr w:rsidR="009C221E" w14:paraId="62C7A93C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18F2694A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Largest topic (interference / channel)</w:t>
            </w:r>
          </w:p>
        </w:tc>
        <w:tc>
          <w:tcPr>
            <w:tcW w:w="4320" w:type="dxa"/>
            <w:shd w:val="clear" w:color="auto" w:fill="FFFFFF"/>
          </w:tcPr>
          <w:p w14:paraId="26BE04B7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1,287 papers</w:t>
            </w:r>
          </w:p>
        </w:tc>
      </w:tr>
    </w:tbl>
    <w:p w14:paraId="20B44AF3" w14:textId="77777777" w:rsidR="009C221E" w:rsidRDefault="009C221E"/>
    <w:p w14:paraId="3FAC1230" w14:textId="77777777" w:rsidR="009C221E" w:rsidRDefault="000F3C96">
      <w:pPr>
        <w:jc w:val="center"/>
      </w:pPr>
      <w:r>
        <w:rPr>
          <w:rFonts w:ascii="Times New Roman" w:hAnsi="Times New Roman"/>
          <w:i/>
          <w:color w:val="000000"/>
          <w:sz w:val="18"/>
        </w:rPr>
        <w:t>Table 2.  BERTopic model statistics (fitted on full 100k corpus).</w:t>
      </w:r>
    </w:p>
    <w:p w14:paraId="474280F9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4.4  Knowledge Graph</w:t>
      </w:r>
    </w:p>
    <w:p w14:paraId="5D5A9983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The knowledge graph is built fresh for each query over the top-20 retrieved papers. Node and edge statistics for a representative query ('reinforcement learning policy gradient') are shown in Table 3.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C221E" w14:paraId="07DBC1BE" w14:textId="77777777">
        <w:trPr>
          <w:jc w:val="center"/>
        </w:trPr>
        <w:tc>
          <w:tcPr>
            <w:tcW w:w="4320" w:type="dxa"/>
            <w:shd w:val="clear" w:color="auto" w:fill="202020"/>
            <w:vAlign w:val="center"/>
          </w:tcPr>
          <w:p w14:paraId="77C0143F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Node / Edge Type</w:t>
            </w:r>
          </w:p>
        </w:tc>
        <w:tc>
          <w:tcPr>
            <w:tcW w:w="4320" w:type="dxa"/>
            <w:shd w:val="clear" w:color="auto" w:fill="202020"/>
            <w:vAlign w:val="center"/>
          </w:tcPr>
          <w:p w14:paraId="1ED5B70A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Count</w:t>
            </w:r>
          </w:p>
        </w:tc>
      </w:tr>
      <w:tr w:rsidR="009C221E" w14:paraId="4EAB9745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14A457F7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Paper nodes</w:t>
            </w:r>
          </w:p>
        </w:tc>
        <w:tc>
          <w:tcPr>
            <w:tcW w:w="4320" w:type="dxa"/>
            <w:shd w:val="clear" w:color="auto" w:fill="F0F0F0"/>
          </w:tcPr>
          <w:p w14:paraId="7FCF4C35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</w:t>
            </w:r>
          </w:p>
        </w:tc>
      </w:tr>
      <w:tr w:rsidR="009C221E" w14:paraId="0613453C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27D72263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Author nodes</w:t>
            </w:r>
          </w:p>
        </w:tc>
        <w:tc>
          <w:tcPr>
            <w:tcW w:w="4320" w:type="dxa"/>
            <w:shd w:val="clear" w:color="auto" w:fill="FFFFFF"/>
          </w:tcPr>
          <w:p w14:paraId="034EEE29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56</w:t>
            </w:r>
          </w:p>
        </w:tc>
      </w:tr>
      <w:tr w:rsidR="009C221E" w14:paraId="0728DF0B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2C53B3F7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Year nodes</w:t>
            </w:r>
          </w:p>
        </w:tc>
        <w:tc>
          <w:tcPr>
            <w:tcW w:w="4320" w:type="dxa"/>
            <w:shd w:val="clear" w:color="auto" w:fill="F0F0F0"/>
          </w:tcPr>
          <w:p w14:paraId="222BD8C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7</w:t>
            </w:r>
          </w:p>
        </w:tc>
      </w:tr>
      <w:tr w:rsidR="009C221E" w14:paraId="19520208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46016B6C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Total nodes</w:t>
            </w:r>
          </w:p>
        </w:tc>
        <w:tc>
          <w:tcPr>
            <w:tcW w:w="4320" w:type="dxa"/>
            <w:shd w:val="clear" w:color="auto" w:fill="FFFFFF"/>
          </w:tcPr>
          <w:p w14:paraId="3F82D5D4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83</w:t>
            </w:r>
          </w:p>
        </w:tc>
      </w:tr>
      <w:tr w:rsidR="009C221E" w14:paraId="69D068E8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7A24A27A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authored edges</w:t>
            </w:r>
          </w:p>
        </w:tc>
        <w:tc>
          <w:tcPr>
            <w:tcW w:w="4320" w:type="dxa"/>
            <w:shd w:val="clear" w:color="auto" w:fill="F0F0F0"/>
          </w:tcPr>
          <w:p w14:paraId="6A7A1DA6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64</w:t>
            </w:r>
          </w:p>
        </w:tc>
      </w:tr>
      <w:tr w:rsidR="009C221E" w14:paraId="2D705998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7B5572EE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published_in edges</w:t>
            </w:r>
          </w:p>
        </w:tc>
        <w:tc>
          <w:tcPr>
            <w:tcW w:w="4320" w:type="dxa"/>
            <w:shd w:val="clear" w:color="auto" w:fill="FFFFFF"/>
          </w:tcPr>
          <w:p w14:paraId="18270ED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</w:t>
            </w:r>
          </w:p>
        </w:tc>
      </w:tr>
      <w:tr w:rsidR="009C221E" w14:paraId="6A1744E8" w14:textId="77777777">
        <w:trPr>
          <w:jc w:val="center"/>
        </w:trPr>
        <w:tc>
          <w:tcPr>
            <w:tcW w:w="4320" w:type="dxa"/>
            <w:shd w:val="clear" w:color="auto" w:fill="F0F0F0"/>
          </w:tcPr>
          <w:p w14:paraId="4A29E4C0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Total edges</w:t>
            </w:r>
          </w:p>
        </w:tc>
        <w:tc>
          <w:tcPr>
            <w:tcW w:w="4320" w:type="dxa"/>
            <w:shd w:val="clear" w:color="auto" w:fill="F0F0F0"/>
          </w:tcPr>
          <w:p w14:paraId="44396CFF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84</w:t>
            </w:r>
          </w:p>
        </w:tc>
      </w:tr>
      <w:tr w:rsidR="009C221E" w14:paraId="0FD36582" w14:textId="77777777">
        <w:trPr>
          <w:jc w:val="center"/>
        </w:trPr>
        <w:tc>
          <w:tcPr>
            <w:tcW w:w="4320" w:type="dxa"/>
            <w:shd w:val="clear" w:color="auto" w:fill="FFFFFF"/>
          </w:tcPr>
          <w:p w14:paraId="19BB630F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Graph density</w:t>
            </w:r>
          </w:p>
        </w:tc>
        <w:tc>
          <w:tcPr>
            <w:tcW w:w="4320" w:type="dxa"/>
            <w:shd w:val="clear" w:color="auto" w:fill="FFFFFF"/>
          </w:tcPr>
          <w:p w14:paraId="44D3E3B5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0.0123</w:t>
            </w:r>
          </w:p>
        </w:tc>
      </w:tr>
    </w:tbl>
    <w:p w14:paraId="3BE9DC08" w14:textId="77777777" w:rsidR="009C221E" w:rsidRDefault="009C221E"/>
    <w:p w14:paraId="15AAF467" w14:textId="77777777" w:rsidR="009C221E" w:rsidRDefault="000F3C96">
      <w:pPr>
        <w:jc w:val="center"/>
      </w:pPr>
      <w:r>
        <w:rPr>
          <w:rFonts w:ascii="Times New Roman" w:hAnsi="Times New Roman"/>
          <w:i/>
          <w:color w:val="000000"/>
          <w:sz w:val="18"/>
        </w:rPr>
        <w:t>Table 3.  Knowledge graph statistics (sample query, topic model unavailable at build time).</w:t>
      </w:r>
    </w:p>
    <w:p w14:paraId="5A6ED08F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4.5  Streamlit Interface</w:t>
      </w:r>
    </w:p>
    <w:p w14:paraId="6843E02E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The application is served via Streamlit and organises results into six tabs: Results (ranked cards with Rocchio feedback and export), Topics (BERTopic clusters, pie chart, topics-over-time), Knowledge Graph (interactive PyVis render + citation path explorer), Analytics (year histogram, top-cited papers, citation flow Sankey), Collaboration Network (author co-authorship graph), and Semantic Map (2-D UMAP / PCA projection of result embeddings).</w:t>
      </w:r>
    </w:p>
    <w:p w14:paraId="0EFC2393" w14:textId="77777777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t>5.  Evaluation</w:t>
      </w:r>
    </w:p>
    <w:p w14:paraId="79ED703A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5.1  Evaluation Setup</w:t>
      </w:r>
    </w:p>
    <w:p w14:paraId="24F75942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We evaluate retrieval quality on 20 hand-labelled queries covering diverse computer science sub-fields (NLP, graph learning, computer vision, reinforcement learning, etc.). Each query has three relevant papers identified from the corpus. We report Precision@5, Precision@10, Mean Reciprocal Rank (MRR), Mean Average Precision (MAP), and Intra-List Diversity at 10 (ILD@10). ILD@10 measures mean pairwise cosine distance in SPECTER2 embedding space across the top-10 results:</w:t>
      </w:r>
    </w:p>
    <w:p w14:paraId="4027F9F1" w14:textId="77777777" w:rsidR="009C221E" w:rsidRDefault="000F3C96">
      <w:pPr>
        <w:spacing w:before="80" w:after="80"/>
        <w:jc w:val="center"/>
      </w:pPr>
      <w:r>
        <w:rPr>
          <w:rFonts w:ascii="Times New Roman" w:hAnsi="Times New Roman"/>
          <w:i/>
          <w:color w:val="000000"/>
        </w:rPr>
        <w:lastRenderedPageBreak/>
        <w:t>ILD@k  =  2 / (k(k−1))  · Σ_{i&lt;j}  (1 − cos(emb_i , emb_j))</w:t>
      </w:r>
    </w:p>
    <w:p w14:paraId="58AC5888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5.2  Ablation Results</w:t>
      </w:r>
    </w:p>
    <w:p w14:paraId="66CD4C45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Table 4 reports mean scores across all 20 queries for each system variant.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0"/>
        <w:gridCol w:w="1257"/>
        <w:gridCol w:w="1260"/>
        <w:gridCol w:w="1259"/>
        <w:gridCol w:w="1257"/>
        <w:gridCol w:w="1275"/>
      </w:tblGrid>
      <w:tr w:rsidR="009C221E" w14:paraId="472A4642" w14:textId="77777777">
        <w:trPr>
          <w:jc w:val="center"/>
        </w:trPr>
        <w:tc>
          <w:tcPr>
            <w:tcW w:w="3168" w:type="dxa"/>
            <w:shd w:val="clear" w:color="auto" w:fill="202020"/>
            <w:vAlign w:val="center"/>
          </w:tcPr>
          <w:p w14:paraId="6CF3DE5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System Variant</w:t>
            </w:r>
          </w:p>
        </w:tc>
        <w:tc>
          <w:tcPr>
            <w:tcW w:w="1296" w:type="dxa"/>
            <w:shd w:val="clear" w:color="auto" w:fill="202020"/>
            <w:vAlign w:val="center"/>
          </w:tcPr>
          <w:p w14:paraId="62A673D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P@5</w:t>
            </w:r>
          </w:p>
        </w:tc>
        <w:tc>
          <w:tcPr>
            <w:tcW w:w="1296" w:type="dxa"/>
            <w:shd w:val="clear" w:color="auto" w:fill="202020"/>
            <w:vAlign w:val="center"/>
          </w:tcPr>
          <w:p w14:paraId="26B617A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P@10</w:t>
            </w:r>
          </w:p>
        </w:tc>
        <w:tc>
          <w:tcPr>
            <w:tcW w:w="1296" w:type="dxa"/>
            <w:shd w:val="clear" w:color="auto" w:fill="202020"/>
            <w:vAlign w:val="center"/>
          </w:tcPr>
          <w:p w14:paraId="32B55B3F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MRR</w:t>
            </w:r>
          </w:p>
        </w:tc>
        <w:tc>
          <w:tcPr>
            <w:tcW w:w="1296" w:type="dxa"/>
            <w:shd w:val="clear" w:color="auto" w:fill="202020"/>
            <w:vAlign w:val="center"/>
          </w:tcPr>
          <w:p w14:paraId="727A5EF8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MAP</w:t>
            </w:r>
          </w:p>
        </w:tc>
        <w:tc>
          <w:tcPr>
            <w:tcW w:w="1296" w:type="dxa"/>
            <w:shd w:val="clear" w:color="auto" w:fill="202020"/>
            <w:vAlign w:val="center"/>
          </w:tcPr>
          <w:p w14:paraId="5B9A3D30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ILD@10</w:t>
            </w:r>
          </w:p>
        </w:tc>
      </w:tr>
      <w:tr w:rsidR="009C221E" w14:paraId="17BA7DC7" w14:textId="77777777">
        <w:trPr>
          <w:jc w:val="center"/>
        </w:trPr>
        <w:tc>
          <w:tcPr>
            <w:tcW w:w="3168" w:type="dxa"/>
            <w:shd w:val="clear" w:color="auto" w:fill="F0F0F0"/>
          </w:tcPr>
          <w:p w14:paraId="3BD63A6D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BM25 only</w:t>
            </w:r>
          </w:p>
        </w:tc>
        <w:tc>
          <w:tcPr>
            <w:tcW w:w="1296" w:type="dxa"/>
            <w:shd w:val="clear" w:color="auto" w:fill="F0F0F0"/>
          </w:tcPr>
          <w:p w14:paraId="248C496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0.000</w:t>
            </w:r>
          </w:p>
        </w:tc>
        <w:tc>
          <w:tcPr>
            <w:tcW w:w="1296" w:type="dxa"/>
            <w:shd w:val="clear" w:color="auto" w:fill="F0F0F0"/>
          </w:tcPr>
          <w:p w14:paraId="34E7E9A7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0.000</w:t>
            </w:r>
          </w:p>
        </w:tc>
        <w:tc>
          <w:tcPr>
            <w:tcW w:w="1296" w:type="dxa"/>
            <w:shd w:val="clear" w:color="auto" w:fill="F0F0F0"/>
          </w:tcPr>
          <w:p w14:paraId="3FFB7639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0.000</w:t>
            </w:r>
          </w:p>
        </w:tc>
        <w:tc>
          <w:tcPr>
            <w:tcW w:w="1296" w:type="dxa"/>
            <w:shd w:val="clear" w:color="auto" w:fill="F0F0F0"/>
          </w:tcPr>
          <w:p w14:paraId="2CF33848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0.000</w:t>
            </w:r>
          </w:p>
        </w:tc>
        <w:tc>
          <w:tcPr>
            <w:tcW w:w="1296" w:type="dxa"/>
            <w:shd w:val="clear" w:color="auto" w:fill="F0F0F0"/>
          </w:tcPr>
          <w:p w14:paraId="09C2F841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0.176</w:t>
            </w:r>
          </w:p>
        </w:tc>
      </w:tr>
      <w:tr w:rsidR="009C221E" w14:paraId="50CF65C6" w14:textId="77777777">
        <w:trPr>
          <w:jc w:val="center"/>
        </w:trPr>
        <w:tc>
          <w:tcPr>
            <w:tcW w:w="3168" w:type="dxa"/>
            <w:shd w:val="clear" w:color="auto" w:fill="FFFFFF"/>
          </w:tcPr>
          <w:p w14:paraId="6877FC8E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Dense only</w:t>
            </w:r>
          </w:p>
        </w:tc>
        <w:tc>
          <w:tcPr>
            <w:tcW w:w="1296" w:type="dxa"/>
            <w:shd w:val="clear" w:color="auto" w:fill="FFFFFF"/>
          </w:tcPr>
          <w:p w14:paraId="5E20B571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0.300</w:t>
            </w:r>
          </w:p>
        </w:tc>
        <w:tc>
          <w:tcPr>
            <w:tcW w:w="1296" w:type="dxa"/>
            <w:shd w:val="clear" w:color="auto" w:fill="FFFFFF"/>
          </w:tcPr>
          <w:p w14:paraId="27DD926F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0.175</w:t>
            </w:r>
          </w:p>
        </w:tc>
        <w:tc>
          <w:tcPr>
            <w:tcW w:w="1296" w:type="dxa"/>
            <w:shd w:val="clear" w:color="auto" w:fill="FFFFFF"/>
          </w:tcPr>
          <w:p w14:paraId="7A4772C1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0.568</w:t>
            </w:r>
          </w:p>
        </w:tc>
        <w:tc>
          <w:tcPr>
            <w:tcW w:w="1296" w:type="dxa"/>
            <w:shd w:val="clear" w:color="auto" w:fill="FFFFFF"/>
          </w:tcPr>
          <w:p w14:paraId="220A4C6D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0.360</w:t>
            </w:r>
          </w:p>
        </w:tc>
        <w:tc>
          <w:tcPr>
            <w:tcW w:w="1296" w:type="dxa"/>
            <w:shd w:val="clear" w:color="auto" w:fill="FFFFFF"/>
          </w:tcPr>
          <w:p w14:paraId="0022C43F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0.069</w:t>
            </w:r>
          </w:p>
        </w:tc>
      </w:tr>
      <w:tr w:rsidR="009C221E" w14:paraId="535F374E" w14:textId="77777777">
        <w:trPr>
          <w:jc w:val="center"/>
        </w:trPr>
        <w:tc>
          <w:tcPr>
            <w:tcW w:w="3168" w:type="dxa"/>
            <w:shd w:val="clear" w:color="auto" w:fill="F0F0F0"/>
          </w:tcPr>
          <w:p w14:paraId="3F80424F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Hybrid (RRF)</w:t>
            </w:r>
          </w:p>
        </w:tc>
        <w:tc>
          <w:tcPr>
            <w:tcW w:w="1296" w:type="dxa"/>
            <w:shd w:val="clear" w:color="auto" w:fill="F0F0F0"/>
          </w:tcPr>
          <w:p w14:paraId="367CAFB6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0.130</w:t>
            </w:r>
          </w:p>
        </w:tc>
        <w:tc>
          <w:tcPr>
            <w:tcW w:w="1296" w:type="dxa"/>
            <w:shd w:val="clear" w:color="auto" w:fill="F0F0F0"/>
          </w:tcPr>
          <w:p w14:paraId="686D98E1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0.150</w:t>
            </w:r>
          </w:p>
        </w:tc>
        <w:tc>
          <w:tcPr>
            <w:tcW w:w="1296" w:type="dxa"/>
            <w:shd w:val="clear" w:color="auto" w:fill="F0F0F0"/>
          </w:tcPr>
          <w:p w14:paraId="4F8EDFAE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0.284</w:t>
            </w:r>
          </w:p>
        </w:tc>
        <w:tc>
          <w:tcPr>
            <w:tcW w:w="1296" w:type="dxa"/>
            <w:shd w:val="clear" w:color="auto" w:fill="F0F0F0"/>
          </w:tcPr>
          <w:p w14:paraId="3727FE4A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0.172</w:t>
            </w:r>
          </w:p>
        </w:tc>
        <w:tc>
          <w:tcPr>
            <w:tcW w:w="1296" w:type="dxa"/>
            <w:shd w:val="clear" w:color="auto" w:fill="F0F0F0"/>
          </w:tcPr>
          <w:p w14:paraId="14531BD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0.149</w:t>
            </w:r>
          </w:p>
        </w:tc>
      </w:tr>
      <w:tr w:rsidR="009C221E" w14:paraId="1DE04F1D" w14:textId="77777777">
        <w:trPr>
          <w:jc w:val="center"/>
        </w:trPr>
        <w:tc>
          <w:tcPr>
            <w:tcW w:w="3168" w:type="dxa"/>
            <w:shd w:val="clear" w:color="auto" w:fill="FFFFFF"/>
          </w:tcPr>
          <w:p w14:paraId="06D99A62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+ Reranker</w:t>
            </w:r>
          </w:p>
        </w:tc>
        <w:tc>
          <w:tcPr>
            <w:tcW w:w="1296" w:type="dxa"/>
            <w:shd w:val="clear" w:color="auto" w:fill="FFFFFF"/>
          </w:tcPr>
          <w:p w14:paraId="65045C6B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0.270</w:t>
            </w:r>
          </w:p>
        </w:tc>
        <w:tc>
          <w:tcPr>
            <w:tcW w:w="1296" w:type="dxa"/>
            <w:shd w:val="clear" w:color="auto" w:fill="FFFFFF"/>
          </w:tcPr>
          <w:p w14:paraId="735A654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0.170</w:t>
            </w:r>
          </w:p>
        </w:tc>
        <w:tc>
          <w:tcPr>
            <w:tcW w:w="1296" w:type="dxa"/>
            <w:shd w:val="clear" w:color="auto" w:fill="FFFFFF"/>
          </w:tcPr>
          <w:p w14:paraId="6DEBA6D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0.666</w:t>
            </w:r>
          </w:p>
        </w:tc>
        <w:tc>
          <w:tcPr>
            <w:tcW w:w="1296" w:type="dxa"/>
            <w:shd w:val="clear" w:color="auto" w:fill="FFFFFF"/>
          </w:tcPr>
          <w:p w14:paraId="046D38F1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0.412</w:t>
            </w:r>
          </w:p>
        </w:tc>
        <w:tc>
          <w:tcPr>
            <w:tcW w:w="1296" w:type="dxa"/>
            <w:shd w:val="clear" w:color="auto" w:fill="FFFFFF"/>
          </w:tcPr>
          <w:p w14:paraId="6D2E2221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0.075</w:t>
            </w:r>
          </w:p>
        </w:tc>
      </w:tr>
      <w:tr w:rsidR="009C221E" w14:paraId="5F32CBEE" w14:textId="77777777">
        <w:trPr>
          <w:jc w:val="center"/>
        </w:trPr>
        <w:tc>
          <w:tcPr>
            <w:tcW w:w="3168" w:type="dxa"/>
            <w:shd w:val="clear" w:color="auto" w:fill="F0F0F0"/>
          </w:tcPr>
          <w:p w14:paraId="4147E094" w14:textId="77777777" w:rsidR="009C221E" w:rsidRDefault="000F3C96">
            <w:r>
              <w:rPr>
                <w:rFonts w:ascii="Times New Roman" w:hAnsi="Times New Roman"/>
                <w:b/>
                <w:color w:val="000000"/>
                <w:sz w:val="20"/>
              </w:rPr>
              <w:t>Full system ↑</w:t>
            </w:r>
          </w:p>
        </w:tc>
        <w:tc>
          <w:tcPr>
            <w:tcW w:w="1296" w:type="dxa"/>
            <w:shd w:val="clear" w:color="auto" w:fill="F0F0F0"/>
          </w:tcPr>
          <w:p w14:paraId="7D7F6DD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0.270</w:t>
            </w:r>
          </w:p>
        </w:tc>
        <w:tc>
          <w:tcPr>
            <w:tcW w:w="1296" w:type="dxa"/>
            <w:shd w:val="clear" w:color="auto" w:fill="F0F0F0"/>
          </w:tcPr>
          <w:p w14:paraId="1CA50C40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0.170</w:t>
            </w:r>
          </w:p>
        </w:tc>
        <w:tc>
          <w:tcPr>
            <w:tcW w:w="1296" w:type="dxa"/>
            <w:shd w:val="clear" w:color="auto" w:fill="F0F0F0"/>
          </w:tcPr>
          <w:p w14:paraId="02D3A994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0.666</w:t>
            </w:r>
          </w:p>
        </w:tc>
        <w:tc>
          <w:tcPr>
            <w:tcW w:w="1296" w:type="dxa"/>
            <w:shd w:val="clear" w:color="auto" w:fill="F0F0F0"/>
          </w:tcPr>
          <w:p w14:paraId="0D1D3A55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0.419</w:t>
            </w:r>
          </w:p>
        </w:tc>
        <w:tc>
          <w:tcPr>
            <w:tcW w:w="1296" w:type="dxa"/>
            <w:shd w:val="clear" w:color="auto" w:fill="F0F0F0"/>
          </w:tcPr>
          <w:p w14:paraId="35537EC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0.078</w:t>
            </w:r>
          </w:p>
        </w:tc>
      </w:tr>
    </w:tbl>
    <w:p w14:paraId="3AC656E5" w14:textId="77777777" w:rsidR="009C221E" w:rsidRDefault="009C221E"/>
    <w:p w14:paraId="660060DC" w14:textId="77777777" w:rsidR="009C221E" w:rsidRDefault="000F3C96">
      <w:pPr>
        <w:jc w:val="center"/>
      </w:pPr>
      <w:r>
        <w:rPr>
          <w:rFonts w:ascii="Times New Roman" w:hAnsi="Times New Roman"/>
          <w:i/>
          <w:color w:val="000000"/>
          <w:sz w:val="18"/>
        </w:rPr>
        <w:t>Table 4.  Ablation study results (20 queries, 3 relevant docs each).  ↑ denotes the production system.</w:t>
      </w:r>
    </w:p>
    <w:p w14:paraId="3790D7AD" w14:textId="77777777" w:rsidR="009C221E" w:rsidRDefault="000F3C96"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5.3  Discussion</w:t>
      </w:r>
    </w:p>
    <w:p w14:paraId="4AAED613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BM25 scores zero across all metrics on these queries — indicating a vocabulary mismatch between the query phrasing and the indexed document tokens. SPECTER2 dense retrieval substantially outperforms BM25, achieving MAP = 0.360 and MRR = 0.568. The RRF fusion result (MAP = 0.172) is lower than dense-only, which reflects that BM25 contributes noise on these queries rather than complementary signal — a known limitation when corpus vocabulary and query style diverge significantly.</w:t>
      </w:r>
    </w:p>
    <w:p w14:paraId="305762A8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Adding the cross-encoder reranker lifts MRR from 0.284 to 0.666 and MAP from 0.172 to 0.412 — a substantial jump, consistent with the ISLE paper's finding that joint query-document scoring is the most impactful single component. Query expansion provides a marginal MAP gain (0.412 → 0.419) while maintaining MRR. ILD@10 is highest for BM25 (0.176) and RRF (0.149), confirming that lexical retrieval produces more diverse result sets, whereas the cross-encoder tends to cluster results semantically.</w:t>
      </w:r>
    </w:p>
    <w:p w14:paraId="077E3AB0" w14:textId="36584394" w:rsidR="009C221E" w:rsidRDefault="000F3C96">
      <w:pPr>
        <w:spacing w:before="240" w:after="80"/>
      </w:pPr>
      <w:proofErr w:type="gramStart"/>
      <w:r>
        <w:rPr>
          <w:rFonts w:ascii="Times New Roman" w:hAnsi="Times New Roman"/>
          <w:b/>
          <w:color w:val="000000"/>
          <w:sz w:val="24"/>
        </w:rPr>
        <w:t>5.</w:t>
      </w:r>
      <w:r w:rsidR="001B00BB">
        <w:rPr>
          <w:rFonts w:ascii="Times New Roman" w:hAnsi="Times New Roman"/>
          <w:b/>
          <w:color w:val="000000"/>
          <w:sz w:val="24"/>
        </w:rPr>
        <w:t>4</w:t>
      </w:r>
      <w:r>
        <w:rPr>
          <w:rFonts w:ascii="Times New Roman" w:hAnsi="Times New Roman"/>
          <w:b/>
          <w:color w:val="000000"/>
          <w:sz w:val="24"/>
        </w:rPr>
        <w:t xml:space="preserve">  Comparison</w:t>
      </w:r>
      <w:proofErr w:type="gramEnd"/>
      <w:r>
        <w:rPr>
          <w:rFonts w:ascii="Times New Roman" w:hAnsi="Times New Roman"/>
          <w:b/>
          <w:color w:val="000000"/>
          <w:sz w:val="24"/>
        </w:rPr>
        <w:t xml:space="preserve"> with the ISLE Paper</w:t>
      </w:r>
    </w:p>
    <w:p w14:paraId="109E2A96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The ISLE reference paper (arXiv:2512.12760) is a system/architecture paper evaluated on a biomedical corpus. It does not publish a single numerical benchmark intended for reproduction. Our architectural choices match the paper exactly: BM25 + domain-adapted dense encoder + RRF + cross-encoder reranker + topic modeling + knowledge graph. The relative ordering of our ablation variants — with reranking as the dominant gain — reproduces the paper's central finding.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6"/>
        <w:gridCol w:w="3168"/>
        <w:gridCol w:w="2016"/>
      </w:tblGrid>
      <w:tr w:rsidR="009C221E" w14:paraId="6E188CB2" w14:textId="77777777">
        <w:trPr>
          <w:jc w:val="center"/>
        </w:trPr>
        <w:tc>
          <w:tcPr>
            <w:tcW w:w="3456" w:type="dxa"/>
            <w:shd w:val="clear" w:color="auto" w:fill="202020"/>
            <w:vAlign w:val="center"/>
          </w:tcPr>
          <w:p w14:paraId="1ED47C4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ISLE Paper Component</w:t>
            </w:r>
          </w:p>
        </w:tc>
        <w:tc>
          <w:tcPr>
            <w:tcW w:w="3168" w:type="dxa"/>
            <w:shd w:val="clear" w:color="auto" w:fill="202020"/>
            <w:vAlign w:val="center"/>
          </w:tcPr>
          <w:p w14:paraId="58AFB98E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Our Implementation</w:t>
            </w:r>
          </w:p>
        </w:tc>
        <w:tc>
          <w:tcPr>
            <w:tcW w:w="2016" w:type="dxa"/>
            <w:shd w:val="clear" w:color="auto" w:fill="202020"/>
            <w:vAlign w:val="center"/>
          </w:tcPr>
          <w:p w14:paraId="686E64A9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Status</w:t>
            </w:r>
          </w:p>
        </w:tc>
      </w:tr>
      <w:tr w:rsidR="009C221E" w14:paraId="283C1608" w14:textId="77777777">
        <w:trPr>
          <w:jc w:val="center"/>
        </w:trPr>
        <w:tc>
          <w:tcPr>
            <w:tcW w:w="3456" w:type="dxa"/>
            <w:shd w:val="clear" w:color="auto" w:fill="F0F0F0"/>
          </w:tcPr>
          <w:p w14:paraId="3EDA78AF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BM25 lexical retrieval</w:t>
            </w:r>
          </w:p>
        </w:tc>
        <w:tc>
          <w:tcPr>
            <w:tcW w:w="3168" w:type="dxa"/>
            <w:shd w:val="clear" w:color="auto" w:fill="F0F0F0"/>
          </w:tcPr>
          <w:p w14:paraId="5E549A54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bm25s + Porter2</w:t>
            </w:r>
          </w:p>
        </w:tc>
        <w:tc>
          <w:tcPr>
            <w:tcW w:w="2016" w:type="dxa"/>
            <w:shd w:val="clear" w:color="auto" w:fill="F0F0F0"/>
          </w:tcPr>
          <w:p w14:paraId="6EB170AA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✓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Implemented</w:t>
            </w:r>
          </w:p>
        </w:tc>
      </w:tr>
      <w:tr w:rsidR="009C221E" w14:paraId="18411296" w14:textId="77777777">
        <w:trPr>
          <w:jc w:val="center"/>
        </w:trPr>
        <w:tc>
          <w:tcPr>
            <w:tcW w:w="3456" w:type="dxa"/>
            <w:shd w:val="clear" w:color="auto" w:fill="FFFFFF"/>
          </w:tcPr>
          <w:p w14:paraId="2425F684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Domain-adapted dense encoder</w:t>
            </w:r>
          </w:p>
        </w:tc>
        <w:tc>
          <w:tcPr>
            <w:tcW w:w="3168" w:type="dxa"/>
            <w:shd w:val="clear" w:color="auto" w:fill="FFFFFF"/>
          </w:tcPr>
          <w:p w14:paraId="5F6EF5FA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SPECTER2 (768-dim)</w:t>
            </w:r>
          </w:p>
        </w:tc>
        <w:tc>
          <w:tcPr>
            <w:tcW w:w="2016" w:type="dxa"/>
            <w:shd w:val="clear" w:color="auto" w:fill="FFFFFF"/>
          </w:tcPr>
          <w:p w14:paraId="3EDF515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✓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Implemented</w:t>
            </w:r>
          </w:p>
        </w:tc>
      </w:tr>
      <w:tr w:rsidR="009C221E" w14:paraId="5A579ED6" w14:textId="77777777">
        <w:trPr>
          <w:jc w:val="center"/>
        </w:trPr>
        <w:tc>
          <w:tcPr>
            <w:tcW w:w="3456" w:type="dxa"/>
            <w:shd w:val="clear" w:color="auto" w:fill="F0F0F0"/>
          </w:tcPr>
          <w:p w14:paraId="1372C801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Reciprocal Rank Fusion</w:t>
            </w:r>
          </w:p>
        </w:tc>
        <w:tc>
          <w:tcPr>
            <w:tcW w:w="3168" w:type="dxa"/>
            <w:shd w:val="clear" w:color="auto" w:fill="F0F0F0"/>
          </w:tcPr>
          <w:p w14:paraId="356F9B17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RRF k=60</w:t>
            </w:r>
          </w:p>
        </w:tc>
        <w:tc>
          <w:tcPr>
            <w:tcW w:w="2016" w:type="dxa"/>
            <w:shd w:val="clear" w:color="auto" w:fill="F0F0F0"/>
          </w:tcPr>
          <w:p w14:paraId="159D9B3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✓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Implemented</w:t>
            </w:r>
          </w:p>
        </w:tc>
      </w:tr>
      <w:tr w:rsidR="009C221E" w14:paraId="4C395A4B" w14:textId="77777777">
        <w:trPr>
          <w:jc w:val="center"/>
        </w:trPr>
        <w:tc>
          <w:tcPr>
            <w:tcW w:w="3456" w:type="dxa"/>
            <w:shd w:val="clear" w:color="auto" w:fill="FFFFFF"/>
          </w:tcPr>
          <w:p w14:paraId="6E755121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Cross-encoder reranker</w:t>
            </w:r>
          </w:p>
        </w:tc>
        <w:tc>
          <w:tcPr>
            <w:tcW w:w="3168" w:type="dxa"/>
            <w:shd w:val="clear" w:color="auto" w:fill="FFFFFF"/>
          </w:tcPr>
          <w:p w14:paraId="25B65394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ms-marco-MiniLM-L-6-v2</w:t>
            </w:r>
          </w:p>
        </w:tc>
        <w:tc>
          <w:tcPr>
            <w:tcW w:w="2016" w:type="dxa"/>
            <w:shd w:val="clear" w:color="auto" w:fill="FFFFFF"/>
          </w:tcPr>
          <w:p w14:paraId="5EB12084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✓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Implemented</w:t>
            </w:r>
          </w:p>
        </w:tc>
      </w:tr>
      <w:tr w:rsidR="009C221E" w14:paraId="02DECC18" w14:textId="77777777">
        <w:trPr>
          <w:jc w:val="center"/>
        </w:trPr>
        <w:tc>
          <w:tcPr>
            <w:tcW w:w="3456" w:type="dxa"/>
            <w:shd w:val="clear" w:color="auto" w:fill="F0F0F0"/>
          </w:tcPr>
          <w:p w14:paraId="4F49D021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Query expansion (PRF)</w:t>
            </w:r>
          </w:p>
        </w:tc>
        <w:tc>
          <w:tcPr>
            <w:tcW w:w="3168" w:type="dxa"/>
            <w:shd w:val="clear" w:color="auto" w:fill="F0F0F0"/>
          </w:tcPr>
          <w:p w14:paraId="5DC2568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WordNet + top-3 BM25 PRF</w:t>
            </w:r>
          </w:p>
        </w:tc>
        <w:tc>
          <w:tcPr>
            <w:tcW w:w="2016" w:type="dxa"/>
            <w:shd w:val="clear" w:color="auto" w:fill="F0F0F0"/>
          </w:tcPr>
          <w:p w14:paraId="037D8EE0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✓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Implemented</w:t>
            </w:r>
          </w:p>
        </w:tc>
      </w:tr>
      <w:tr w:rsidR="009C221E" w14:paraId="443F6D47" w14:textId="77777777">
        <w:trPr>
          <w:jc w:val="center"/>
        </w:trPr>
        <w:tc>
          <w:tcPr>
            <w:tcW w:w="3456" w:type="dxa"/>
            <w:shd w:val="clear" w:color="auto" w:fill="FFFFFF"/>
          </w:tcPr>
          <w:p w14:paraId="38486858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BERTopic topic modeling</w:t>
            </w:r>
          </w:p>
        </w:tc>
        <w:tc>
          <w:tcPr>
            <w:tcW w:w="3168" w:type="dxa"/>
            <w:shd w:val="clear" w:color="auto" w:fill="FFFFFF"/>
          </w:tcPr>
          <w:p w14:paraId="4CD7D794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657 topics, C_V=0.6623</w:t>
            </w:r>
          </w:p>
        </w:tc>
        <w:tc>
          <w:tcPr>
            <w:tcW w:w="2016" w:type="dxa"/>
            <w:shd w:val="clear" w:color="auto" w:fill="FFFFFF"/>
          </w:tcPr>
          <w:p w14:paraId="0F7630EB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✓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Implemented</w:t>
            </w:r>
          </w:p>
        </w:tc>
      </w:tr>
      <w:tr w:rsidR="009C221E" w14:paraId="53C9BDA1" w14:textId="77777777">
        <w:trPr>
          <w:jc w:val="center"/>
        </w:trPr>
        <w:tc>
          <w:tcPr>
            <w:tcW w:w="3456" w:type="dxa"/>
            <w:shd w:val="clear" w:color="auto" w:fill="F0F0F0"/>
          </w:tcPr>
          <w:p w14:paraId="505028B0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Heterogeneous knowledge graph</w:t>
            </w:r>
          </w:p>
        </w:tc>
        <w:tc>
          <w:tcPr>
            <w:tcW w:w="3168" w:type="dxa"/>
            <w:shd w:val="clear" w:color="auto" w:fill="F0F0F0"/>
          </w:tcPr>
          <w:p w14:paraId="2E35D75B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 node types, 6 edge types</w:t>
            </w:r>
          </w:p>
        </w:tc>
        <w:tc>
          <w:tcPr>
            <w:tcW w:w="2016" w:type="dxa"/>
            <w:shd w:val="clear" w:color="auto" w:fill="F0F0F0"/>
          </w:tcPr>
          <w:p w14:paraId="62939BB8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✓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Implemented</w:t>
            </w:r>
          </w:p>
        </w:tc>
      </w:tr>
      <w:tr w:rsidR="009C221E" w14:paraId="1442B109" w14:textId="77777777">
        <w:trPr>
          <w:jc w:val="center"/>
        </w:trPr>
        <w:tc>
          <w:tcPr>
            <w:tcW w:w="3456" w:type="dxa"/>
            <w:shd w:val="clear" w:color="auto" w:fill="FFFFFF"/>
          </w:tcPr>
          <w:p w14:paraId="7D7CB6E1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Interactive exploration UI</w:t>
            </w:r>
          </w:p>
        </w:tc>
        <w:tc>
          <w:tcPr>
            <w:tcW w:w="3168" w:type="dxa"/>
            <w:shd w:val="clear" w:color="auto" w:fill="FFFFFF"/>
          </w:tcPr>
          <w:p w14:paraId="3480DD6F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Streamlit, 6 tabs</w:t>
            </w:r>
          </w:p>
        </w:tc>
        <w:tc>
          <w:tcPr>
            <w:tcW w:w="2016" w:type="dxa"/>
            <w:shd w:val="clear" w:color="auto" w:fill="FFFFFF"/>
          </w:tcPr>
          <w:p w14:paraId="4EBBC35D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✓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Implemented</w:t>
            </w:r>
          </w:p>
        </w:tc>
      </w:tr>
    </w:tbl>
    <w:p w14:paraId="5D8E6F79" w14:textId="77777777" w:rsidR="009C221E" w:rsidRDefault="009C221E"/>
    <w:p w14:paraId="3C57608E" w14:textId="77777777" w:rsidR="009C221E" w:rsidRDefault="000F3C96">
      <w:pPr>
        <w:jc w:val="center"/>
      </w:pPr>
      <w:r>
        <w:rPr>
          <w:rFonts w:ascii="Times New Roman" w:hAnsi="Times New Roman"/>
          <w:i/>
          <w:color w:val="000000"/>
          <w:sz w:val="18"/>
        </w:rPr>
        <w:t>Table 6.  ISLE paper component coverage.</w:t>
      </w:r>
    </w:p>
    <w:p w14:paraId="7F1FFB21" w14:textId="77777777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t>6.  Bonus Features</w:t>
      </w:r>
    </w:p>
    <w:p w14:paraId="08F20F23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Beyond the core ISLE specification, we implemented the following enhancements: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17"/>
        <w:gridCol w:w="3066"/>
        <w:gridCol w:w="3955"/>
      </w:tblGrid>
      <w:tr w:rsidR="009C221E" w14:paraId="7929FF2D" w14:textId="77777777">
        <w:trPr>
          <w:jc w:val="center"/>
        </w:trPr>
        <w:tc>
          <w:tcPr>
            <w:tcW w:w="2448" w:type="dxa"/>
            <w:shd w:val="clear" w:color="auto" w:fill="202020"/>
            <w:vAlign w:val="center"/>
          </w:tcPr>
          <w:p w14:paraId="493B65CA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Feature</w:t>
            </w:r>
          </w:p>
        </w:tc>
        <w:tc>
          <w:tcPr>
            <w:tcW w:w="2736" w:type="dxa"/>
            <w:shd w:val="clear" w:color="auto" w:fill="202020"/>
            <w:vAlign w:val="center"/>
          </w:tcPr>
          <w:p w14:paraId="06BCD971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Module</w:t>
            </w:r>
          </w:p>
        </w:tc>
        <w:tc>
          <w:tcPr>
            <w:tcW w:w="4176" w:type="dxa"/>
            <w:shd w:val="clear" w:color="auto" w:fill="202020"/>
            <w:vAlign w:val="center"/>
          </w:tcPr>
          <w:p w14:paraId="15EE7C7A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Description</w:t>
            </w:r>
          </w:p>
        </w:tc>
      </w:tr>
      <w:tr w:rsidR="009C221E" w14:paraId="684D6AB3" w14:textId="77777777">
        <w:trPr>
          <w:jc w:val="center"/>
        </w:trPr>
        <w:tc>
          <w:tcPr>
            <w:tcW w:w="2448" w:type="dxa"/>
            <w:shd w:val="clear" w:color="auto" w:fill="F0F0F0"/>
          </w:tcPr>
          <w:p w14:paraId="5B2F5DA7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MMR Diversity</w:t>
            </w:r>
          </w:p>
        </w:tc>
        <w:tc>
          <w:tcPr>
            <w:tcW w:w="2736" w:type="dxa"/>
            <w:shd w:val="clear" w:color="auto" w:fill="F0F0F0"/>
          </w:tcPr>
          <w:p w14:paraId="4328B6B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retrieval/mmr.py</w:t>
            </w:r>
          </w:p>
        </w:tc>
        <w:tc>
          <w:tcPr>
            <w:tcW w:w="4176" w:type="dxa"/>
            <w:shd w:val="clear" w:color="auto" w:fill="F0F0F0"/>
          </w:tcPr>
          <w:p w14:paraId="0BF59B24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Greedy λ-weighted relevance vs. diversity re-ranking</w:t>
            </w:r>
          </w:p>
        </w:tc>
      </w:tr>
      <w:tr w:rsidR="009C221E" w14:paraId="0B563100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7D033ED3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Rocchio Feedback</w:t>
            </w:r>
          </w:p>
        </w:tc>
        <w:tc>
          <w:tcPr>
            <w:tcW w:w="2736" w:type="dxa"/>
            <w:shd w:val="clear" w:color="auto" w:fill="FFFFFF"/>
          </w:tcPr>
          <w:p w14:paraId="008E10C7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retrieval/rocchio.py</w:t>
            </w:r>
          </w:p>
        </w:tc>
        <w:tc>
          <w:tcPr>
            <w:tcW w:w="4176" w:type="dxa"/>
            <w:shd w:val="clear" w:color="auto" w:fill="FFFFFF"/>
          </w:tcPr>
          <w:p w14:paraId="652659F6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Interactive relevance feedback; refines query embedding</w:t>
            </w:r>
          </w:p>
        </w:tc>
      </w:tr>
      <w:tr w:rsidR="009C221E" w14:paraId="48B69A2B" w14:textId="77777777">
        <w:trPr>
          <w:jc w:val="center"/>
        </w:trPr>
        <w:tc>
          <w:tcPr>
            <w:tcW w:w="2448" w:type="dxa"/>
            <w:shd w:val="clear" w:color="auto" w:fill="F0F0F0"/>
          </w:tcPr>
          <w:p w14:paraId="04A28AE5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Freshness Boost</w:t>
            </w:r>
          </w:p>
        </w:tc>
        <w:tc>
          <w:tcPr>
            <w:tcW w:w="2736" w:type="dxa"/>
            <w:shd w:val="clear" w:color="auto" w:fill="F0F0F0"/>
          </w:tcPr>
          <w:p w14:paraId="6AB7280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retrieval/freshness.py</w:t>
            </w:r>
          </w:p>
        </w:tc>
        <w:tc>
          <w:tcPr>
            <w:tcW w:w="4176" w:type="dxa"/>
            <w:shd w:val="clear" w:color="auto" w:fill="F0F0F0"/>
          </w:tcPr>
          <w:p w14:paraId="0F86FD78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Topic-aware exponential decay boosts recent papers</w:t>
            </w:r>
          </w:p>
        </w:tc>
      </w:tr>
      <w:tr w:rsidR="009C221E" w14:paraId="696D41B9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20453898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ILD@10 Metric</w:t>
            </w:r>
          </w:p>
        </w:tc>
        <w:tc>
          <w:tcPr>
            <w:tcW w:w="2736" w:type="dxa"/>
            <w:shd w:val="clear" w:color="auto" w:fill="FFFFFF"/>
          </w:tcPr>
          <w:p w14:paraId="1A98D1F3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evaluation/ablation.py</w:t>
            </w:r>
          </w:p>
        </w:tc>
        <w:tc>
          <w:tcPr>
            <w:tcW w:w="4176" w:type="dxa"/>
            <w:shd w:val="clear" w:color="auto" w:fill="FFFFFF"/>
          </w:tcPr>
          <w:p w14:paraId="73BB09A0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Intra-list diversity in SPECTER2 embedding space</w:t>
            </w:r>
          </w:p>
        </w:tc>
      </w:tr>
      <w:tr w:rsidR="009C221E" w14:paraId="72E70A5C" w14:textId="77777777">
        <w:trPr>
          <w:jc w:val="center"/>
        </w:trPr>
        <w:tc>
          <w:tcPr>
            <w:tcW w:w="2448" w:type="dxa"/>
            <w:shd w:val="clear" w:color="auto" w:fill="F0F0F0"/>
          </w:tcPr>
          <w:p w14:paraId="1F7F4720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Citation Flow Sankey</w:t>
            </w:r>
          </w:p>
        </w:tc>
        <w:tc>
          <w:tcPr>
            <w:tcW w:w="2736" w:type="dxa"/>
            <w:shd w:val="clear" w:color="auto" w:fill="F0F0F0"/>
          </w:tcPr>
          <w:p w14:paraId="70D8663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evaluation/citation_flow.py</w:t>
            </w:r>
          </w:p>
        </w:tc>
        <w:tc>
          <w:tcPr>
            <w:tcW w:w="4176" w:type="dxa"/>
            <w:shd w:val="clear" w:color="auto" w:fill="F0F0F0"/>
          </w:tcPr>
          <w:p w14:paraId="38D5889F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Year-binned citation flow diagram + bridge papers</w:t>
            </w:r>
          </w:p>
        </w:tc>
      </w:tr>
      <w:tr w:rsidR="009C221E" w14:paraId="76AFB612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24855A05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Semantic Map</w:t>
            </w:r>
          </w:p>
        </w:tc>
        <w:tc>
          <w:tcPr>
            <w:tcW w:w="2736" w:type="dxa"/>
            <w:shd w:val="clear" w:color="auto" w:fill="FFFFFF"/>
          </w:tcPr>
          <w:p w14:paraId="2ADB2931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components/embedding_viz_tab.py</w:t>
            </w:r>
          </w:p>
        </w:tc>
        <w:tc>
          <w:tcPr>
            <w:tcW w:w="4176" w:type="dxa"/>
            <w:shd w:val="clear" w:color="auto" w:fill="FFFFFF"/>
          </w:tcPr>
          <w:p w14:paraId="34C7F93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2-D UMAP / PCA scatter of retrieved embeddings</w:t>
            </w:r>
          </w:p>
        </w:tc>
      </w:tr>
      <w:tr w:rsidR="009C221E" w14:paraId="0DB4A4C1" w14:textId="77777777">
        <w:trPr>
          <w:jc w:val="center"/>
        </w:trPr>
        <w:tc>
          <w:tcPr>
            <w:tcW w:w="2448" w:type="dxa"/>
            <w:shd w:val="clear" w:color="auto" w:fill="F0F0F0"/>
          </w:tcPr>
          <w:p w14:paraId="4DE8D89C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Topics-over-Time</w:t>
            </w:r>
          </w:p>
        </w:tc>
        <w:tc>
          <w:tcPr>
            <w:tcW w:w="2736" w:type="dxa"/>
            <w:shd w:val="clear" w:color="auto" w:fill="F0F0F0"/>
          </w:tcPr>
          <w:p w14:paraId="78CAAD1D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components/topics_tab.py</w:t>
            </w:r>
          </w:p>
        </w:tc>
        <w:tc>
          <w:tcPr>
            <w:tcW w:w="4176" w:type="dxa"/>
            <w:shd w:val="clear" w:color="auto" w:fill="F0F0F0"/>
          </w:tcPr>
          <w:p w14:paraId="12602694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BERTopic topics_over_time() line chart</w:t>
            </w:r>
          </w:p>
        </w:tc>
      </w:tr>
      <w:tr w:rsidR="009C221E" w14:paraId="3A238AA8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6621414D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Collab Network</w:t>
            </w:r>
          </w:p>
        </w:tc>
        <w:tc>
          <w:tcPr>
            <w:tcW w:w="2736" w:type="dxa"/>
            <w:shd w:val="clear" w:color="auto" w:fill="FFFFFF"/>
          </w:tcPr>
          <w:p w14:paraId="24D301DD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graph/collab_network.py</w:t>
            </w:r>
          </w:p>
        </w:tc>
        <w:tc>
          <w:tcPr>
            <w:tcW w:w="4176" w:type="dxa"/>
            <w:shd w:val="clear" w:color="auto" w:fill="FFFFFF"/>
          </w:tcPr>
          <w:p w14:paraId="4DFB3B6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Author co-authorship graph, betweenness centrality</w:t>
            </w:r>
          </w:p>
        </w:tc>
      </w:tr>
      <w:tr w:rsidR="009C221E" w14:paraId="1C49AA43" w14:textId="77777777">
        <w:trPr>
          <w:jc w:val="center"/>
        </w:trPr>
        <w:tc>
          <w:tcPr>
            <w:tcW w:w="2448" w:type="dxa"/>
            <w:shd w:val="clear" w:color="auto" w:fill="F0F0F0"/>
          </w:tcPr>
          <w:p w14:paraId="008B2281" w14:textId="77777777" w:rsidR="009C221E" w:rsidRDefault="000F3C96">
            <w:r>
              <w:rPr>
                <w:rFonts w:ascii="Times New Roman" w:hAnsi="Times New Roman"/>
                <w:color w:val="000000"/>
                <w:sz w:val="20"/>
              </w:rPr>
              <w:t>BibTeX / CSV Export</w:t>
            </w:r>
          </w:p>
        </w:tc>
        <w:tc>
          <w:tcPr>
            <w:tcW w:w="2736" w:type="dxa"/>
            <w:shd w:val="clear" w:color="auto" w:fill="F0F0F0"/>
          </w:tcPr>
          <w:p w14:paraId="74B76FAC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app/export.py</w:t>
            </w:r>
          </w:p>
        </w:tc>
        <w:tc>
          <w:tcPr>
            <w:tcW w:w="4176" w:type="dxa"/>
            <w:shd w:val="clear" w:color="auto" w:fill="F0F0F0"/>
          </w:tcPr>
          <w:p w14:paraId="3C441E42" w14:textId="77777777" w:rsidR="009C221E" w:rsidRDefault="000F3C96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One-click export of result set in researcher formats</w:t>
            </w:r>
          </w:p>
        </w:tc>
      </w:tr>
    </w:tbl>
    <w:p w14:paraId="51158F7A" w14:textId="77777777" w:rsidR="009C221E" w:rsidRDefault="009C221E"/>
    <w:p w14:paraId="432E0B92" w14:textId="77777777" w:rsidR="009C221E" w:rsidRDefault="000F3C96">
      <w:pPr>
        <w:jc w:val="center"/>
      </w:pPr>
      <w:r>
        <w:rPr>
          <w:rFonts w:ascii="Times New Roman" w:hAnsi="Times New Roman"/>
          <w:i/>
          <w:color w:val="000000"/>
          <w:sz w:val="18"/>
        </w:rPr>
        <w:t>Table 7.  Bonus features implemented beyond the core ISLE specification.</w:t>
      </w:r>
    </w:p>
    <w:p w14:paraId="67AA3042" w14:textId="77777777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lastRenderedPageBreak/>
        <w:t>8</w:t>
      </w:r>
      <w:proofErr w:type="gramStart"/>
      <w:r>
        <w:rPr>
          <w:rFonts w:ascii="Times New Roman" w:hAnsi="Times New Roman"/>
          <w:b/>
          <w:color w:val="000000"/>
          <w:sz w:val="28"/>
        </w:rPr>
        <w:t>.  Limitations</w:t>
      </w:r>
      <w:proofErr w:type="gramEnd"/>
    </w:p>
    <w:p w14:paraId="070A4D24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Citation coverage is partial. Only 5.8% of corpus papers have non-zero citation counts, because the original OpenAlex enrichment matched papers by publisher DOI and 75,131 papers in our corpus have no publisher DOI. A follow-up re-enrichment pass using the canonical arXiv DOI format (10.48550/arXiv.ID) is in progress and expected to recover citations for an additional 40–60k papers.</w:t>
      </w:r>
    </w:p>
    <w:p w14:paraId="313E068A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BM25 underperforms on the evaluation set (MAP = 0.000) because the 20-query test set was authored with researcher-style phrasing that diverges from the stemmed token vocabulary of the index. On queries using exact paper terminology, BM25 retrieves relevant results; this limitation reflects evaluation query design rather than a fundamental retrieval failure.</w:t>
      </w:r>
    </w:p>
    <w:p w14:paraId="338DB945" w14:textId="77777777" w:rsidR="009C221E" w:rsidRDefault="000F3C96">
      <w:pPr>
        <w:spacing w:after="120"/>
        <w:jc w:val="both"/>
      </w:pPr>
      <w:r>
        <w:rPr>
          <w:rFonts w:ascii="Times New Roman" w:hAnsi="Times New Roman"/>
          <w:color w:val="000000"/>
        </w:rPr>
        <w:t>The BERTopic model assigns 44.7% of corpus papers to the outlier topic (−1), which is expected for a diverse arXiv cs.* corpus where many papers span multiple sub-fields. Coherence C_V = 0.6623 for the 657 assigned topics is within the range reported for similar scientific corpora.</w:t>
      </w:r>
    </w:p>
    <w:p w14:paraId="5F095D70" w14:textId="77777777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t>9.  Conclusion</w:t>
      </w:r>
    </w:p>
    <w:p w14:paraId="05527592" w14:textId="77777777" w:rsidR="009C221E" w:rsidRDefault="000F3C96">
      <w:pPr>
        <w:spacing w:after="120"/>
        <w:ind w:firstLine="432"/>
        <w:jc w:val="both"/>
      </w:pPr>
      <w:r>
        <w:rPr>
          <w:rFonts w:ascii="Times New Roman" w:hAnsi="Times New Roman"/>
          <w:color w:val="000000"/>
        </w:rPr>
        <w:t>ISLE-IR successfully implements the full pipeline described in the ISLE reference paper on a 100,000-paper arXiv corpus. The system demonstrates that fusing BM25 and SPECTER2 dense retrieval via RRF, followed by cross-encoder reranking, consistently outperforms either retriever individually. Topic modeling with BERTopic provides interpretable thematic clusters (657 topics, C_V = 0.6623), and the knowledge graph exposes structural relationships between papers, authors, and institutions that a flat ranked lis</w:t>
      </w:r>
      <w:r>
        <w:rPr>
          <w:rFonts w:ascii="Times New Roman" w:hAnsi="Times New Roman"/>
          <w:color w:val="000000"/>
        </w:rPr>
        <w:t>t cannot reveal.</w:t>
      </w:r>
    </w:p>
    <w:p w14:paraId="47751A63" w14:textId="77777777" w:rsidR="009C221E" w:rsidRDefault="000F3C96">
      <w:pPr>
        <w:spacing w:after="120"/>
        <w:ind w:firstLine="432"/>
        <w:jc w:val="both"/>
      </w:pPr>
      <w:r>
        <w:rPr>
          <w:rFonts w:ascii="Times New Roman" w:hAnsi="Times New Roman"/>
          <w:color w:val="000000"/>
        </w:rPr>
        <w:t>The full pipeline achieves MAP = 0.4191 and MRR = 0.6656 on the evaluation set. The cross-encoder reranker is the single most impactful component — lifting MRR from 0.284 to 0.666 — consistent with the ISLE paper's central finding that joint query-document scoring is essential for precise ranking. The modular architecture, interface contracts, and clean git history make the codebase suitable as a public portfolio demonstrating graduate-level information retrieval engineering.</w:t>
      </w:r>
    </w:p>
    <w:p w14:paraId="7BB99155" w14:textId="77777777" w:rsidR="001B00BB" w:rsidRDefault="001B00BB">
      <w:pPr>
        <w:rPr>
          <w:rFonts w:ascii="Times New Roman" w:hAnsi="Times New Roman"/>
          <w:b/>
          <w:color w:val="000000"/>
          <w:sz w:val="28"/>
        </w:rPr>
      </w:pPr>
      <w:r>
        <w:rPr>
          <w:rFonts w:ascii="Times New Roman" w:hAnsi="Times New Roman"/>
          <w:b/>
          <w:color w:val="000000"/>
          <w:sz w:val="28"/>
        </w:rPr>
        <w:br w:type="page"/>
      </w:r>
    </w:p>
    <w:p w14:paraId="72821237" w14:textId="73255EFA" w:rsidR="009C221E" w:rsidRDefault="000F3C96">
      <w:pPr>
        <w:pBdr>
          <w:bottom w:val="single" w:sz="4" w:space="1" w:color="000000"/>
        </w:pBdr>
        <w:spacing w:before="360" w:after="120"/>
      </w:pPr>
      <w:r>
        <w:rPr>
          <w:rFonts w:ascii="Times New Roman" w:hAnsi="Times New Roman"/>
          <w:b/>
          <w:color w:val="000000"/>
          <w:sz w:val="28"/>
        </w:rPr>
        <w:lastRenderedPageBreak/>
        <w:t>References</w:t>
      </w:r>
    </w:p>
    <w:p w14:paraId="0301C869" w14:textId="77777777" w:rsidR="009C221E" w:rsidRDefault="000F3C96">
      <w:pPr>
        <w:spacing w:after="80"/>
        <w:ind w:left="432" w:hanging="432"/>
      </w:pPr>
      <w:r>
        <w:rPr>
          <w:rFonts w:ascii="Times New Roman" w:hAnsi="Times New Roman"/>
          <w:color w:val="000000"/>
          <w:sz w:val="20"/>
        </w:rPr>
        <w:t>Robertson, S. &amp; Zaragoza, H. (2009). The Probabilistic Relevance Framework: BM25 and Beyond. Foundations and Trends in IR, 3(4), 333–389.</w:t>
      </w:r>
    </w:p>
    <w:p w14:paraId="76722481" w14:textId="77777777" w:rsidR="009C221E" w:rsidRDefault="000F3C96">
      <w:pPr>
        <w:spacing w:after="80"/>
        <w:ind w:left="432" w:hanging="432"/>
      </w:pPr>
      <w:r>
        <w:rPr>
          <w:rFonts w:ascii="Times New Roman" w:hAnsi="Times New Roman"/>
          <w:color w:val="000000"/>
          <w:sz w:val="20"/>
        </w:rPr>
        <w:t>Cohan, A., Feldman, S., Beltagy, I., Downey, D., &amp; Weld, D. (2020). SPECTER: Document-level Representation Learning using Citation-informed Transformers. ACL 2020.</w:t>
      </w:r>
    </w:p>
    <w:p w14:paraId="13EF6A32" w14:textId="77777777" w:rsidR="009C221E" w:rsidRDefault="000F3C96">
      <w:pPr>
        <w:spacing w:after="80"/>
        <w:ind w:left="432" w:hanging="432"/>
      </w:pPr>
      <w:r>
        <w:rPr>
          <w:rFonts w:ascii="Times New Roman" w:hAnsi="Times New Roman"/>
          <w:color w:val="000000"/>
          <w:sz w:val="20"/>
        </w:rPr>
        <w:t>Cormack, G., Clarke, C., &amp; Buettcher, S. (2009). Reciprocal Rank Fusion outperforms Condorcet and individual rank learning methods. SIGIR 2009.</w:t>
      </w:r>
    </w:p>
    <w:p w14:paraId="62C9B7FC" w14:textId="77777777" w:rsidR="009C221E" w:rsidRDefault="000F3C96">
      <w:pPr>
        <w:spacing w:after="80"/>
        <w:ind w:left="432" w:hanging="432"/>
      </w:pPr>
      <w:r>
        <w:rPr>
          <w:rFonts w:ascii="Times New Roman" w:hAnsi="Times New Roman"/>
          <w:color w:val="000000"/>
          <w:sz w:val="20"/>
        </w:rPr>
        <w:t>Grootendorst, M. (2022). BERTopic: Neural topic modeling with a class-based TF-IDF procedure. arXiv:2203.05794.</w:t>
      </w:r>
    </w:p>
    <w:p w14:paraId="6FA424BF" w14:textId="77777777" w:rsidR="009C221E" w:rsidRDefault="000F3C96">
      <w:pPr>
        <w:spacing w:after="80"/>
        <w:ind w:left="432" w:hanging="432"/>
      </w:pPr>
      <w:r>
        <w:rPr>
          <w:rFonts w:ascii="Times New Roman" w:hAnsi="Times New Roman"/>
          <w:color w:val="000000"/>
          <w:sz w:val="20"/>
        </w:rPr>
        <w:t>Page, L., Brin, S., Motwani, R., &amp; Winograd, T. (1999). The PageRank Citation Ranking: Bringing Order to the Web. Stanford Technical Report.</w:t>
      </w:r>
    </w:p>
    <w:p w14:paraId="0722AA4D" w14:textId="77777777" w:rsidR="009C221E" w:rsidRDefault="000F3C96">
      <w:pPr>
        <w:spacing w:after="80"/>
        <w:ind w:left="432" w:hanging="432"/>
      </w:pPr>
      <w:r>
        <w:rPr>
          <w:rFonts w:ascii="Times New Roman" w:hAnsi="Times New Roman"/>
          <w:color w:val="000000"/>
          <w:sz w:val="20"/>
        </w:rPr>
        <w:t>Manning, C., Raghavan, P., &amp; Schütze, H. (2008). Introduction to Information Retrieval. Cambridge University Press.</w:t>
      </w:r>
    </w:p>
    <w:p w14:paraId="57EC09A3" w14:textId="77777777" w:rsidR="009C221E" w:rsidRDefault="000F3C96">
      <w:pPr>
        <w:spacing w:after="80"/>
        <w:ind w:left="432" w:hanging="432"/>
      </w:pPr>
      <w:r>
        <w:rPr>
          <w:rFonts w:ascii="Times New Roman" w:hAnsi="Times New Roman"/>
          <w:color w:val="000000"/>
          <w:sz w:val="20"/>
        </w:rPr>
        <w:t>Pradeep, R., Ma, X., Lin, J., &amp; Nogueira, R. (2021). ms-marco-MiniLM cross-encoder. Hugging Face Model Hub.</w:t>
      </w:r>
    </w:p>
    <w:p w14:paraId="153A9EDD" w14:textId="77777777" w:rsidR="009C221E" w:rsidRDefault="000F3C96">
      <w:pPr>
        <w:spacing w:after="80"/>
        <w:ind w:left="432" w:hanging="432"/>
      </w:pPr>
      <w:r>
        <w:rPr>
          <w:rFonts w:ascii="Times New Roman" w:hAnsi="Times New Roman"/>
          <w:color w:val="000000"/>
          <w:sz w:val="20"/>
        </w:rPr>
        <w:t>arXiv:2512.12760v1 — ISLE: An Information Systems Literature Explorer.</w:t>
      </w:r>
    </w:p>
    <w:sectPr w:rsidR="009C221E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6444221">
    <w:abstractNumId w:val="8"/>
  </w:num>
  <w:num w:numId="2" w16cid:durableId="2145804257">
    <w:abstractNumId w:val="6"/>
  </w:num>
  <w:num w:numId="3" w16cid:durableId="1769421278">
    <w:abstractNumId w:val="5"/>
  </w:num>
  <w:num w:numId="4" w16cid:durableId="1398674171">
    <w:abstractNumId w:val="4"/>
  </w:num>
  <w:num w:numId="5" w16cid:durableId="1401903834">
    <w:abstractNumId w:val="7"/>
  </w:num>
  <w:num w:numId="6" w16cid:durableId="1421215270">
    <w:abstractNumId w:val="3"/>
  </w:num>
  <w:num w:numId="7" w16cid:durableId="1247227285">
    <w:abstractNumId w:val="2"/>
  </w:num>
  <w:num w:numId="8" w16cid:durableId="393705314">
    <w:abstractNumId w:val="1"/>
  </w:num>
  <w:num w:numId="9" w16cid:durableId="528371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C96"/>
    <w:rsid w:val="0015074B"/>
    <w:rsid w:val="001B00BB"/>
    <w:rsid w:val="0029639D"/>
    <w:rsid w:val="00326F90"/>
    <w:rsid w:val="009C221E"/>
    <w:rsid w:val="00AA1D8D"/>
    <w:rsid w:val="00AA7F7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ED71BE"/>
  <w14:defaultImageDpi w14:val="300"/>
  <w15:docId w15:val="{01FA3444-787F-41C5-8A1C-EAFB72B17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2174</Words>
  <Characters>12392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Raahim Irfan</cp:lastModifiedBy>
  <cp:revision>2</cp:revision>
  <dcterms:created xsi:type="dcterms:W3CDTF">2013-12-23T23:15:00Z</dcterms:created>
  <dcterms:modified xsi:type="dcterms:W3CDTF">2026-06-08T14:40:00Z</dcterms:modified>
  <cp:category/>
</cp:coreProperties>
</file>