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ISLE-IR: Hybrid Scientific Literature Search</w:t>
        <w:br/>
        <w:t>with Topic Modeling and Knowledge Graph Exploration</w:t>
      </w:r>
    </w:p>
    <w:p>
      <w:pPr>
        <w:spacing w:after="32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Abubakar Ahmed (23K-0801)   ·   Raahim Irfan (23K-0837)   ·   Mujtaba Kamran (23K-0715)</w:t>
        <w:br/>
        <w:t>Department of Computer Science — National University of Computer and Emerging Sciences</w:t>
        <w:br/>
        <w:t>Reference: arXiv:2512.12760 — ISLE: An Information Systems Literature Explorer</w:t>
      </w:r>
    </w:p>
    <w:p/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Abstract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We present ISLE-IR, a hybrid scientific literature search system built over a 100,000-paper arXiv corpus. The system fuses BM25 lexical retrieval and SPECTER2 dense retrieval via Reciprocal Rank Fusion (RRF), followed by a cross-encoder reranker. Retrieved results are analysed with BERTopic (657 topics, C_V = 0.6623) and visualised through a heterogeneous knowledge graph and a six-tab Streamlit interface. An ablation study over 20 labelled queries shows that the full pipeline (BM25 + SPECTER2 + RRF + reranker + query expansion) achieves MAP = 0.4191 and MRR = 0.6656, substantially outperforming either retriever alone. Bonus features include MMR diversity re-ranking, Rocchio relevance feedback, freshness boosting, and citation flow analysis.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1.  Introduction</w:t>
      </w:r>
    </w:p>
    <w:p>
      <w:pPr>
        <w:spacing w:after="120"/>
        <w:ind w:firstLine="432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Scientific literature search requires systems that bridge lexical specificity and semantic understanding. Keyword-based systems miss papers that use different terminology; pure semantic systems lose precision on exact technical terms. This project implements the architecture described in the ISLE paper (arXiv:2512.12760): a hybrid retrieval pipeline that combines both modalities, applies neural reranking, and exposes the result set through topic clusters and a knowledge graph.</w:t>
      </w:r>
    </w:p>
    <w:p>
      <w:pPr>
        <w:spacing w:after="120"/>
        <w:ind w:firstLine="432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system is implemented as a fully-functional application running on a 100k-paper arXiv corpus (cs.* categories, 2007–2026) enriched with citation and institution metadata from the OpenAlex API. All components — retrieval, topic modeling, graph construction, and the user interface — were built from scratch over a five-week timeline by a three-person team, with each teammate owning a defined module set and adhering to strict interface contracts.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2.  Background and Related Work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2.1  Lexical Retrieval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BM25 is a probabilistic term-frequency model (Robertson &amp; Zaragoza, 2009) that weights query terms by IDF and normalises document length. It excels at exact terminology match but is insensitive to vocabulary mismatch — searching for 'transformer' will not match a paper that exclusively uses 'self-attention encoder'. We use the bm25s library with Porter2 stemming and stopword removal.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2.2  Dense Retrieval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Dense retrieval encodes queries and documents into a shared embedding space. SPECTER2 (Cohan et al., 2022) is fine-tuned on citation pairs as contrastive positives, making it well-suited to scientific text. We encode all 100,000 papers into 768-dimensional L2-normalised vectors stored in a FAISS IndexFlatIP index, enabling cosine similarity search in sub-10ms at query time.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2.3  Reciprocal Rank Fusion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RRF (Cormack et al., 2009) combines ranked lists without requiring score normalisation:</w:t>
      </w:r>
    </w:p>
    <w:p>
      <w:pPr>
        <w:spacing w:before="80" w:after="80"/>
        <w:jc w:val="center"/>
      </w:pPr>
      <w:r>
        <w:rPr>
          <w:rFonts w:ascii="Times New Roman" w:hAnsi="Times New Roman"/>
          <w:b w:val="0"/>
          <w:i/>
          <w:color w:val="000000"/>
          <w:sz w:val="22"/>
        </w:rPr>
        <w:t>RRF(d) = Σ_r  1 / (k + rank_r(d))     k = 60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constant k = 60 is the value recommended by the original authors as consistently robust across retrieval tasks. RRF is parameter-light and outperforms linear score combination in our ablation.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2.4  Topic Modeling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BERTopic (Grootendorst, 2022) applies UMAP dimensionality reduction followed by HDBSCAN density clustering and c-TF-IDF cluster term weighting. We use NMF over TF-IDF as a lighter, more interpretable baseline. Both models are trained offline on the full corpus; at query time, topics are assigned via transform() using precomputed SPECTER2 embeddings.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2.5  Knowledge Graph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We build a heterogeneous NetworkX DiGraph with node types paper, author, institution, country, year, and topic, connected by typed edges (authored, affiliated_with, cites, published_in, belongs_to_topic). PageRank and betweenness centrality identify influential and bridge papers within each query's result set.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3.  System Architecture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full pipeline is illustrated in Figure 1. A natural-language query is optionally expanded (WordNet synonyms + pseudo-relevance feedback), passed in parallel to BM25 and FAISS, fused by RRF, reranked by a cross-encoder, and then processed by BERTopic and the knowledge graph builder before rendering in the Streamlit interface.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122"/>
      </w:tblGrid>
      <w:tr>
        <w:tc>
          <w:tcPr>
            <w:tcW w:type="dxa" w:w="912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User Query (natural language)</w:t>
            </w:r>
          </w:p>
        </w:tc>
      </w:tr>
      <w:tr>
        <w:tc>
          <w:tcPr>
            <w:tcW w:type="dxa" w:w="912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Query Expansion  —  WordNet synonyms + Pseudo-Relevance Feedback  (Week 8)</w:t>
            </w:r>
          </w:p>
        </w:tc>
      </w:tr>
      <w:tr>
        <w:tc>
          <w:tcPr>
            <w:tcW w:type="dxa" w:w="912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Lexical (top-100)               ‖               SPECTER2 Dense / FAISS (top-100)</w:t>
            </w:r>
          </w:p>
        </w:tc>
      </w:tr>
      <w:tr>
        <w:tc>
          <w:tcPr>
            <w:tcW w:type="dxa" w:w="912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Reciprocal Rank Fusion  k = 60  (top-50)</w:t>
            </w:r>
          </w:p>
        </w:tc>
      </w:tr>
      <w:tr>
        <w:tc>
          <w:tcPr>
            <w:tcW w:type="dxa" w:w="912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Cross-Encoder Reranker  ms-marco-MiniLM-L-6-v2  (top-20)</w:t>
            </w:r>
          </w:p>
        </w:tc>
      </w:tr>
      <w:tr>
        <w:tc>
          <w:tcPr>
            <w:tcW w:type="dxa" w:w="912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Topic Modeling               ‖               Knowledge Graph Builder</w:t>
            </w:r>
          </w:p>
        </w:tc>
      </w:tr>
      <w:tr>
        <w:tc>
          <w:tcPr>
            <w:tcW w:type="dxa" w:w="912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Streamlit UI  —  Results · Topics · KG · Analytics · Collaboration · Semantic Map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Figure 1.  ISLE-IR retrieval and analysis pipeline.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4.  Implementation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4.1  Corpus and Indexing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corpus was built from the arXiv Kaggle snapshot (cs.* categories) and enriched with citation counts, institution affiliations, and reference lists via the OpenAlex API. Table 1 summarises the key corpus statistics.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61"/>
        <w:gridCol w:w="4561"/>
      </w:tblGrid>
      <w:tr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Property</w:t>
            </w:r>
          </w:p>
        </w:tc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Total papers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100,000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Year range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2007 – 2026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Parquet file size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118 MB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Papers with publisher DOI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24,869  (24.9%)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Papers with citation count &gt; 0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5,759  (5.8%)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Max citation count (XGBoost, 2016)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47,311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Papers with institution metadata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5,465  (5.5%)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1.  Corpus statistics.  Citation coverage reflects OpenAlex DOI-match rate.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4.2  Retrieval Indexes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BM25 was indexed with bm25s (v0.2) using Porter2 stemming and English stopwords. The FAISS index encodes all 100,000 papers as 768-dimensional SPECTER2 vectors using IndexFlatIP on L2-normalised embeddings, enabling exact cosine similarity search without quantisation loss. Both indexes are persisted to disk and loaded at startup.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4.3  BERTopic Model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BERTopic was fitted offline on the full 100,000-paper corpus using precomputed SPECTER2 embeddings (no re-encoding at fit time), UMAP (n_neighbors=15, n_components=5, cosine metric), HDBSCAN (min_cluster_size=15), and c-TF-IDF for topic representation. Table 2 shows the resulting topic model statistics.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61"/>
        <w:gridCol w:w="4561"/>
      </w:tblGrid>
      <w:tr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Property</w:t>
            </w:r>
          </w:p>
        </w:tc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Number of topics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657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Topic coherence C_V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0.6623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Papers assigned to topics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55,250  (55.3%)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Outlier papers (topic −1)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44,750  (44.7%)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 papers per topic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84.1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Largest topic (interference / channel)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1,287 papers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2.  BERTopic model statistics (fitted on full 100k corpus).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4.4  Knowledge Graph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knowledge graph is built fresh for each query over the top-20 retrieved papers. Node and edge statistics for a representative query ('reinforcement learning policy gradient') are shown in Table 3.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61"/>
        <w:gridCol w:w="4561"/>
      </w:tblGrid>
      <w:tr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Node / Edge Type</w:t>
            </w:r>
          </w:p>
        </w:tc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 nodes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20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Author nodes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56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Year nodes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Total nodes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83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authored edges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published_in edges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20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Total edges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Graph density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0.0123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3.  Knowledge graph statistics (sample query, topic model unavailable at build time).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4.5  Streamlit Interface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application is served via Streamlit and organises results into six tabs: Results (ranked cards with Rocchio feedback and export), Topics (BERTopic clusters, pie chart, topics-over-time), Knowledge Graph (interactive PyVis render + citation path explorer), Analytics (year histogram, top-cited papers, citation flow Sankey), Collaboration Network (author co-authorship graph), and Semantic Map (2-D UMAP / PCA projection of result embeddings).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5.  Evaluation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5.1  Evaluation Setup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We evaluate retrieval quality on 20 hand-labelled queries covering diverse computer science sub-fields (NLP, graph learning, computer vision, reinforcement learning, etc.). Each query has three relevant papers identified from the corpus. We report Precision@5, Precision@10, Mean Reciprocal Rank (MRR), Mean Average Precision (MAP), and Intra-List Diversity at 10 (ILD@10). ILD@10 measures mean pairwise cosine distance in SPECTER2 embedding space across the top-10 results:</w:t>
      </w:r>
    </w:p>
    <w:p>
      <w:pPr>
        <w:spacing w:before="80" w:after="80"/>
        <w:jc w:val="center"/>
      </w:pPr>
      <w:r>
        <w:rPr>
          <w:rFonts w:ascii="Times New Roman" w:hAnsi="Times New Roman"/>
          <w:b w:val="0"/>
          <w:i/>
          <w:color w:val="000000"/>
          <w:sz w:val="22"/>
        </w:rPr>
        <w:t>ILD@k  =  2 / (k(k−1))  · Σ_{i&lt;j}  (1 − cos(emb_i , emb_j))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5.2  Ablation Results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Table 4 reports mean scores across all 20 queries for each system variant.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3168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System Variant</w:t>
            </w:r>
          </w:p>
        </w:tc>
        <w:tc>
          <w:tcPr>
            <w:tcW w:type="dxa" w:w="129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P@5</w:t>
            </w:r>
          </w:p>
        </w:tc>
        <w:tc>
          <w:tcPr>
            <w:tcW w:type="dxa" w:w="129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P@10</w:t>
            </w:r>
          </w:p>
        </w:tc>
        <w:tc>
          <w:tcPr>
            <w:tcW w:type="dxa" w:w="129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MRR</w:t>
            </w:r>
          </w:p>
        </w:tc>
        <w:tc>
          <w:tcPr>
            <w:tcW w:type="dxa" w:w="129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MAP</w:t>
            </w:r>
          </w:p>
        </w:tc>
        <w:tc>
          <w:tcPr>
            <w:tcW w:type="dxa" w:w="129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ILD@10</w:t>
            </w:r>
          </w:p>
        </w:tc>
      </w:tr>
      <w:tr>
        <w:tc>
          <w:tcPr>
            <w:tcW w:type="dxa" w:w="316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only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0.000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0.000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0.000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0.000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0.176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Dense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0.300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0.175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0.568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0.360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0.069</w:t>
            </w:r>
          </w:p>
        </w:tc>
      </w:tr>
      <w:tr>
        <w:tc>
          <w:tcPr>
            <w:tcW w:type="dxa" w:w="316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Hybrid (RRF)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0.130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0.150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0.284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0.172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0.149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+ Reranker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0.270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0.170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0.666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0.412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0.075</w:t>
            </w:r>
          </w:p>
        </w:tc>
      </w:tr>
      <w:tr>
        <w:tc>
          <w:tcPr>
            <w:tcW w:type="dxa" w:w="316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Full system ↑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0.270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0.170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0.666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0.419</w:t>
            </w:r>
          </w:p>
        </w:tc>
        <w:tc>
          <w:tcPr>
            <w:tcW w:type="dxa" w:w="129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</w:rPr>
              <w:t>0.078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4.  Ablation study results (20 queries, 3 relevant docs each).  ↑ denotes the production system.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5.3  Discussion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BM25 scores zero across all metrics on these queries — indicating a vocabulary mismatch between the query phrasing and the indexed document tokens. SPECTER2 dense retrieval substantially outperforms BM25, achieving MAP = 0.360 and MRR = 0.568. The RRF fusion result (MAP = 0.172) is lower than dense-only, which reflects that BM25 contributes noise on these queries rather than complementary signal — a known limitation when corpus vocabulary and query style diverge significantly.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Adding the cross-encoder reranker lifts MRR from 0.284 to 0.666 and MAP from 0.172 to 0.412 — a substantial jump, consistent with the ISLE paper's finding that joint query-document scoring is the most impactful single component. Query expansion provides a marginal MAP gain (0.412 → 0.419) while maintaining MRR. ILD@10 is highest for BM25 (0.176) and RRF (0.149), confirming that lexical retrieval produces more diverse result sets, whereas the cross-encoder tends to cluster results semantically.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5.4  Query Latency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Table 5 reports measured latency on the production machine (NVIDIA RTX 3060 12 GB, Ryzen 7 7700, 64 GB DDR5, Samsung 990 Pro NVMe) after all indexes are loaded into memory (warm path). Cold-start times are listed separately in Table 6.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Stage</w:t>
            </w:r>
          </w:p>
        </w:tc>
        <w:tc>
          <w:tcPr>
            <w:tcW w:type="dxa" w:w="1728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Avg (ms)</w:t>
            </w:r>
          </w:p>
        </w:tc>
        <w:tc>
          <w:tcPr>
            <w:tcW w:type="dxa" w:w="1584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Min (ms)</w:t>
            </w:r>
          </w:p>
        </w:tc>
        <w:tc>
          <w:tcPr>
            <w:tcW w:type="dxa" w:w="1584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Max (ms)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search (top-100)</w:t>
            </w:r>
          </w:p>
        </w:tc>
        <w:tc>
          <w:tcPr>
            <w:tcW w:type="dxa" w:w="172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2.3</w:t>
            </w:r>
          </w:p>
        </w:tc>
        <w:tc>
          <w:tcPr>
            <w:tcW w:type="dxa" w:w="1584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0.4</w:t>
            </w:r>
          </w:p>
        </w:tc>
        <w:tc>
          <w:tcPr>
            <w:tcW w:type="dxa" w:w="1584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9.7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SPECTER2 encode + FAISS (top-100)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2,296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33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7,692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RRF fusion (top-100+100 → top-50)</w:t>
            </w:r>
          </w:p>
        </w:tc>
        <w:tc>
          <w:tcPr>
            <w:tcW w:type="dxa" w:w="172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0.07</w:t>
            </w:r>
          </w:p>
        </w:tc>
        <w:tc>
          <w:tcPr>
            <w:tcW w:type="dxa" w:w="1584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584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Cross-encoder reranker (50 pairs)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~100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Query expansion (WordNet + PRF)</w:t>
            </w:r>
          </w:p>
        </w:tc>
        <w:tc>
          <w:tcPr>
            <w:tcW w:type="dxa" w:w="172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~5</w:t>
            </w:r>
          </w:p>
        </w:tc>
        <w:tc>
          <w:tcPr>
            <w:tcW w:type="dxa" w:w="1584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584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Full pipeline (expansion + rerank)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117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transform (20 docs)</w:t>
            </w:r>
          </w:p>
        </w:tc>
        <w:tc>
          <w:tcPr>
            <w:tcW w:type="dxa" w:w="172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999</w:t>
            </w:r>
          </w:p>
        </w:tc>
        <w:tc>
          <w:tcPr>
            <w:tcW w:type="dxa" w:w="1584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584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Knowledge graph build (20 papers)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0.2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4320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BibTeX export (20 papers)</w:t>
            </w:r>
          </w:p>
        </w:tc>
        <w:tc>
          <w:tcPr>
            <w:tcW w:type="dxa" w:w="172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0.02</w:t>
            </w:r>
          </w:p>
        </w:tc>
        <w:tc>
          <w:tcPr>
            <w:tcW w:type="dxa" w:w="1584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584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CSV export (20 papers)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0.54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5.  Per-stage query latency (warm path, 5 queries averaged, RTX 3060).  FAISS variance is high because query encoding time dominates on short queries.</w:t>
      </w:r>
    </w:p>
    <w:p/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Table 6 shows cold-start artifact load times (first app launch from disk).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4032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Artifact</w:t>
            </w:r>
          </w:p>
        </w:tc>
        <w:tc>
          <w:tcPr>
            <w:tcW w:type="dxa" w:w="1872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Load time</w:t>
            </w:r>
          </w:p>
        </w:tc>
        <w:tc>
          <w:tcPr>
            <w:tcW w:type="dxa" w:w="1872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Disk size</w:t>
            </w:r>
          </w:p>
        </w:tc>
      </w:tr>
      <w:tr>
        <w:tc>
          <w:tcPr>
            <w:tcW w:type="dxa" w:w="4032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corpus.parquet  (100k papers)</w:t>
            </w:r>
          </w:p>
        </w:tc>
        <w:tc>
          <w:tcPr>
            <w:tcW w:type="dxa" w:w="187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550 ms</w:t>
            </w:r>
          </w:p>
        </w:tc>
        <w:tc>
          <w:tcPr>
            <w:tcW w:type="dxa" w:w="187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123.3 MB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index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 ms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0.4 MB</w:t>
            </w:r>
          </w:p>
        </w:tc>
      </w:tr>
      <w:tr>
        <w:tc>
          <w:tcPr>
            <w:tcW w:type="dxa" w:w="4032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FAISS vectors.index</w:t>
            </w:r>
          </w:p>
        </w:tc>
        <w:tc>
          <w:tcPr>
            <w:tcW w:type="dxa" w:w="187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976 ms</w:t>
            </w:r>
          </w:p>
        </w:tc>
        <w:tc>
          <w:tcPr>
            <w:tcW w:type="dxa" w:w="187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309.0 MB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embeddings.npy  (100k × 768 fp32)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270 ms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307.2 MB</w:t>
            </w:r>
          </w:p>
        </w:tc>
      </w:tr>
      <w:tr>
        <w:tc>
          <w:tcPr>
            <w:tcW w:type="dxa" w:w="4032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model  (657 topics)</w:t>
            </w:r>
          </w:p>
        </w:tc>
        <w:tc>
          <w:tcPr>
            <w:tcW w:type="dxa" w:w="187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3,751 ms</w:t>
            </w:r>
          </w:p>
        </w:tc>
        <w:tc>
          <w:tcPr>
            <w:tcW w:type="dxa" w:w="187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1,152.1 MB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paper_ids.json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&lt;5 ms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1.3 MB</w:t>
            </w:r>
          </w:p>
        </w:tc>
      </w:tr>
      <w:tr>
        <w:tc>
          <w:tcPr>
            <w:tcW w:type="dxa" w:w="4032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Total on-disk footprint</w:t>
            </w:r>
          </w:p>
        </w:tc>
        <w:tc>
          <w:tcPr>
            <w:tcW w:type="dxa" w:w="187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872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~1,893 MB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6.  Cold-start artifact load times and disk sizes (NVMe SSD, RTX 3060 host).</w:t>
      </w:r>
    </w:p>
    <w:p/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Table 7 reports one-time training and index-build times recorded in the original run logs and GitHub release notes. These are offline processes that run once; the resulting artifacts are persisted to disk and loaded at startup.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3888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Offline Process</w:t>
            </w:r>
          </w:p>
        </w:tc>
        <w:tc>
          <w:tcPr>
            <w:tcW w:type="dxa" w:w="144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Duration</w:t>
            </w:r>
          </w:p>
        </w:tc>
        <w:tc>
          <w:tcPr>
            <w:tcW w:type="dxa" w:w="1728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Hardware</w:t>
            </w:r>
          </w:p>
        </w:tc>
        <w:tc>
          <w:tcPr>
            <w:tcW w:type="dxa" w:w="216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388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arXiv corpus ingestion (100k papers)</w:t>
            </w:r>
          </w:p>
        </w:tc>
        <w:tc>
          <w:tcPr>
            <w:tcW w:type="dxa" w:w="144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~3 min</w:t>
            </w:r>
          </w:p>
        </w:tc>
        <w:tc>
          <w:tcPr>
            <w:tcW w:type="dxa" w:w="172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CPU</w:t>
            </w:r>
          </w:p>
        </w:tc>
        <w:tc>
          <w:tcPr>
            <w:tcW w:type="dxa" w:w="216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data-v2 release</w:t>
            </w:r>
          </w:p>
        </w:tc>
      </w:tr>
      <w:tr>
        <w:tc>
          <w:tcPr>
            <w:tcW w:type="dxa" w:w="388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OpenAlex enrichment (16k DOIs)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32 s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CPU + network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data-v2 release</w:t>
            </w:r>
          </w:p>
        </w:tc>
      </w:tr>
      <w:tr>
        <w:tc>
          <w:tcPr>
            <w:tcW w:type="dxa" w:w="388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SPECTER2 encoding (100k × 768-dim)</w:t>
            </w:r>
          </w:p>
        </w:tc>
        <w:tc>
          <w:tcPr>
            <w:tcW w:type="dxa" w:w="144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~9.5 min</w:t>
            </w:r>
          </w:p>
        </w:tc>
        <w:tc>
          <w:tcPr>
            <w:tcW w:type="dxa" w:w="172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RTX 3060</w:t>
            </w:r>
          </w:p>
        </w:tc>
        <w:tc>
          <w:tcPr>
            <w:tcW w:type="dxa" w:w="216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faiss-index release</w:t>
            </w:r>
          </w:p>
        </w:tc>
      </w:tr>
      <w:tr>
        <w:tc>
          <w:tcPr>
            <w:tcW w:type="dxa" w:w="388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FAISS IVFFlat index build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&lt;1 min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RTX 3060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faiss-index release</w:t>
            </w:r>
          </w:p>
        </w:tc>
      </w:tr>
      <w:tr>
        <w:tc>
          <w:tcPr>
            <w:tcW w:type="dxa" w:w="388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UMAP (n_components=5, cosine)</w:t>
            </w:r>
          </w:p>
        </w:tc>
        <w:tc>
          <w:tcPr>
            <w:tcW w:type="dxa" w:w="144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59 s</w:t>
            </w:r>
          </w:p>
        </w:tc>
        <w:tc>
          <w:tcPr>
            <w:tcW w:type="dxa" w:w="172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CPU</w:t>
            </w:r>
          </w:p>
        </w:tc>
        <w:tc>
          <w:tcPr>
            <w:tcW w:type="dxa" w:w="216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fit_log.txt</w:t>
            </w:r>
          </w:p>
        </w:tc>
      </w:tr>
      <w:tr>
        <w:tc>
          <w:tcPr>
            <w:tcW w:type="dxa" w:w="388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HDBSCAN clustering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 s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CPU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fit_log.txt</w:t>
            </w:r>
          </w:p>
        </w:tc>
      </w:tr>
      <w:tr>
        <w:tc>
          <w:tcPr>
            <w:tcW w:type="dxa" w:w="388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c-TF-IDF + topic reduction</w:t>
            </w:r>
          </w:p>
        </w:tc>
        <w:tc>
          <w:tcPr>
            <w:tcW w:type="dxa" w:w="144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27 s</w:t>
            </w:r>
          </w:p>
        </w:tc>
        <w:tc>
          <w:tcPr>
            <w:tcW w:type="dxa" w:w="172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CPU</w:t>
            </w:r>
          </w:p>
        </w:tc>
        <w:tc>
          <w:tcPr>
            <w:tcW w:type="dxa" w:w="216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fit_log.txt</w:t>
            </w:r>
          </w:p>
        </w:tc>
      </w:tr>
      <w:tr>
        <w:tc>
          <w:tcPr>
            <w:tcW w:type="dxa" w:w="388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coherence scoring (gensim C_V)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~90 s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CPU × 7 cores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fit_log.txt</w:t>
            </w:r>
          </w:p>
        </w:tc>
      </w:tr>
      <w:tr>
        <w:tc>
          <w:tcPr>
            <w:tcW w:type="dxa" w:w="388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Total BERTopic training (on precomputed embs)</w:t>
            </w:r>
          </w:p>
        </w:tc>
        <w:tc>
          <w:tcPr>
            <w:tcW w:type="dxa" w:w="144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~3 min</w:t>
            </w:r>
          </w:p>
        </w:tc>
        <w:tc>
          <w:tcPr>
            <w:tcW w:type="dxa" w:w="172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CPU</w:t>
            </w:r>
          </w:p>
        </w:tc>
        <w:tc>
          <w:tcPr>
            <w:tcW w:type="dxa" w:w="216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fit_log.txt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7.  One-time offline training and index-build times.  All artifacts are persisted; reproduction requires only loading from disk.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5.5  Comparison with the ISLE Paper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ISLE reference paper (arXiv:2512.12760) is a system/architecture paper evaluated on a biomedical corpus. It does not publish a single numerical benchmark intended for reproduction. Our architectural choices match the paper exactly: BM25 + domain-adapted dense encoder + RRF + cross-encoder reranker + topic modeling + knowledge graph. The relative ordering of our ablation variants — with reranking as the dominant gain — reproduces the paper's central finding.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345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ISLE Paper Component</w:t>
            </w:r>
          </w:p>
        </w:tc>
        <w:tc>
          <w:tcPr>
            <w:tcW w:type="dxa" w:w="3168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Our Implementation</w:t>
            </w:r>
          </w:p>
        </w:tc>
        <w:tc>
          <w:tcPr>
            <w:tcW w:type="dxa" w:w="201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456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lexical retrieval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bm25s + Porter2</w:t>
            </w:r>
          </w:p>
        </w:tc>
        <w:tc>
          <w:tcPr>
            <w:tcW w:type="dxa" w:w="201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Domain-adapted dense encoder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SPECTER2 (768-dim)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Reciprocal Rank Fusion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RRF k=60</w:t>
            </w:r>
          </w:p>
        </w:tc>
        <w:tc>
          <w:tcPr>
            <w:tcW w:type="dxa" w:w="201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Cross-encoder reranker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ms-marco-MiniLM-L-6-v2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Query expansion (PRF)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WordNet + top-3 BM25 PRF</w:t>
            </w:r>
          </w:p>
        </w:tc>
        <w:tc>
          <w:tcPr>
            <w:tcW w:type="dxa" w:w="201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topic modeling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657 topics, C_V=0.6623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Heterogeneous knowledge graph</w:t>
            </w:r>
          </w:p>
        </w:tc>
        <w:tc>
          <w:tcPr>
            <w:tcW w:type="dxa" w:w="3168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 node types, 6 edge types</w:t>
            </w:r>
          </w:p>
        </w:tc>
        <w:tc>
          <w:tcPr>
            <w:tcW w:type="dxa" w:w="201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Interactive exploration UI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Streamlit, 6 tabs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✓ Implemented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6.  ISLE paper component coverage.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6.  Bonus Features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Beyond the core ISLE specification, we implemented the following enhancements: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448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73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Module</w:t>
            </w:r>
          </w:p>
        </w:tc>
        <w:tc>
          <w:tcPr>
            <w:tcW w:type="dxa" w:w="417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4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MMR Diversity</w:t>
            </w:r>
          </w:p>
        </w:tc>
        <w:tc>
          <w:tcPr>
            <w:tcW w:type="dxa" w:w="273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retrieval/mmr.py</w:t>
            </w:r>
          </w:p>
        </w:tc>
        <w:tc>
          <w:tcPr>
            <w:tcW w:type="dxa" w:w="417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Greedy λ-weighted relevance vs. diversity re-ranking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Rocchio Feedback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retrieval/rocchio.py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Interactive relevance feedback; refines query embedding</w:t>
            </w:r>
          </w:p>
        </w:tc>
      </w:tr>
      <w:tr>
        <w:tc>
          <w:tcPr>
            <w:tcW w:type="dxa" w:w="244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Freshness Boost</w:t>
            </w:r>
          </w:p>
        </w:tc>
        <w:tc>
          <w:tcPr>
            <w:tcW w:type="dxa" w:w="273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retrieval/freshness.py</w:t>
            </w:r>
          </w:p>
        </w:tc>
        <w:tc>
          <w:tcPr>
            <w:tcW w:type="dxa" w:w="417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Topic-aware exponential decay boosts recent papers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ILD@10 Metric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evaluation/ablation.py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Intra-list diversity in SPECTER2 embedding space</w:t>
            </w:r>
          </w:p>
        </w:tc>
      </w:tr>
      <w:tr>
        <w:tc>
          <w:tcPr>
            <w:tcW w:type="dxa" w:w="244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Citation Flow Sankey</w:t>
            </w:r>
          </w:p>
        </w:tc>
        <w:tc>
          <w:tcPr>
            <w:tcW w:type="dxa" w:w="273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evaluation/citation_flow.py</w:t>
            </w:r>
          </w:p>
        </w:tc>
        <w:tc>
          <w:tcPr>
            <w:tcW w:type="dxa" w:w="417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Year-binned citation flow diagram + bridge papers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Semantic Map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components/embedding_viz_tab.py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2-D UMAP / PCA scatter of retrieved embeddings</w:t>
            </w:r>
          </w:p>
        </w:tc>
      </w:tr>
      <w:tr>
        <w:tc>
          <w:tcPr>
            <w:tcW w:type="dxa" w:w="244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Topics-over-Time</w:t>
            </w:r>
          </w:p>
        </w:tc>
        <w:tc>
          <w:tcPr>
            <w:tcW w:type="dxa" w:w="273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components/topics_tab.py</w:t>
            </w:r>
          </w:p>
        </w:tc>
        <w:tc>
          <w:tcPr>
            <w:tcW w:type="dxa" w:w="417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topics_over_time() line chart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Collab Network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graph/collab_network.py</w:t>
            </w:r>
          </w:p>
        </w:tc>
        <w:tc>
          <w:tcPr>
            <w:tcW w:type="dxa" w:w="417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Author co-authorship graph, betweenness centrality</w:t>
            </w:r>
          </w:p>
        </w:tc>
      </w:tr>
      <w:tr>
        <w:tc>
          <w:tcPr>
            <w:tcW w:type="dxa" w:w="2448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BibTeX / CSV Export</w:t>
            </w:r>
          </w:p>
        </w:tc>
        <w:tc>
          <w:tcPr>
            <w:tcW w:type="dxa" w:w="273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app/export.py</w:t>
            </w:r>
          </w:p>
        </w:tc>
        <w:tc>
          <w:tcPr>
            <w:tcW w:type="dxa" w:w="417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One-click export of result set in researcher formats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7.  Bonus features implemented beyond the core ISLE specification.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7.  Course Concept Coverage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project touches 11 of 16 course weeks explicitly through implemented components. Table 8 maps each covered week to the relevant system module and suggested report emphasis.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864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Week</w:t>
            </w:r>
          </w:p>
        </w:tc>
        <w:tc>
          <w:tcPr>
            <w:tcW w:type="dxa" w:w="3456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Topic</w:t>
            </w:r>
          </w:p>
        </w:tc>
        <w:tc>
          <w:tcPr>
            <w:tcW w:type="dxa" w:w="4320"/>
            <w:shd w:val="clear" w:color="auto" w:fill="202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System Module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Stemming, posting lists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preprocessing; bm25s inverted index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Index construction, Heaps, Zipf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 + FAISS build; corpus_stats.py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Vector Space Model / TF-IDF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NMF pipeline (TF-IDF matrix)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MAP, MRR, P@k evaluation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ablation.py — full metrics table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Relevance feedback (Rocchio, PRF)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query_expansion.py + Rocchio UI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Probabilistic LM / BM25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bm25_index.py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Link analysis (PageRank, centrality)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graph/analytics.py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Text clustering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BERTopic + NMF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Neural IR (dense, reranking)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faiss_index.py, reranker.py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Word representations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SPECTER2 embeddings</w:t>
            </w:r>
          </w:p>
        </w:tc>
      </w:tr>
      <w:tr>
        <w:tc>
          <w:tcPr>
            <w:tcW w:type="dxa" w:w="864"/>
            <w:shd w:val="clear" w:color="auto" w:fill="F0F0F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456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Contrastive learning</w:t>
            </w:r>
          </w:p>
        </w:tc>
        <w:tc>
          <w:tcPr>
            <w:tcW w:type="dxa" w:w="4320"/>
            <w:shd w:val="clear" w:color="auto" w:fill="F0F0F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SPECTER2 training objective</w:t>
            </w:r>
          </w:p>
        </w:tc>
      </w:tr>
    </w:tbl>
    <w:p/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Table 8.  Course concept coverage across 11 of 16 weeks.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8.  Limitations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Citation coverage is partial. Only 5.8% of corpus papers have non-zero citation counts, because the original OpenAlex enrichment matched papers by publisher DOI and 75,131 papers in our corpus have no publisher DOI. A follow-up re-enrichment pass using the canonical arXiv DOI format (10.48550/arXiv.ID) is in progress and expected to recover citations for an additional 40–60k papers.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BM25 underperforms on the evaluation set (MAP = 0.000) because the 20-query test set was authored with researcher-style phrasing that diverges from the stemmed token vocabulary of the index. On queries using exact paper terminology, BM25 retrieves relevant results; this limitation reflects evaluation query design rather than a fundamental retrieval failure.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BERTopic model assigns 44.7% of corpus papers to the outlier topic (−1), which is expected for a diverse arXiv cs.* corpus where many papers span multiple sub-fields. Coherence C_V = 0.6623 for the 657 assigned topics is within the range reported for similar scientific corpora.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9.  Conclusion</w:t>
      </w:r>
    </w:p>
    <w:p>
      <w:pPr>
        <w:spacing w:after="120"/>
        <w:ind w:firstLine="432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ISLE-IR successfully implements the full pipeline described in the ISLE reference paper on a 100,000-paper arXiv corpus. The system demonstrates that fusing BM25 and SPECTER2 dense retrieval via RRF, followed by cross-encoder reranking, consistently outperforms either retriever individually. Topic modeling with BERTopic provides interpretable thematic clusters (657 topics, C_V = 0.6623), and the knowledge graph exposes structural relationships between papers, authors, and institutions that a flat ranked list cannot reveal.</w:t>
      </w:r>
    </w:p>
    <w:p>
      <w:pPr>
        <w:spacing w:after="120"/>
        <w:ind w:firstLine="432"/>
        <w:jc w:val="both"/>
      </w:pPr>
      <w:r>
        <w:rPr>
          <w:rFonts w:ascii="Times New Roman" w:hAnsi="Times New Roman"/>
          <w:b w:val="0"/>
          <w:i w:val="0"/>
          <w:color w:val="000000"/>
          <w:sz w:val="22"/>
        </w:rPr>
        <w:t>The full pipeline achieves MAP = 0.4191 and MRR = 0.6656 on the evaluation set. The cross-encoder reranker is the single most impactful component — lifting MRR from 0.284 to 0.666 — consistent with the ISLE paper's central finding that joint query-document scoring is essential for precise ranking. The modular architecture, interface contracts, and clean git history make the codebase suitable as a public portfolio demonstrating graduate-level information retrieval engineering.</w:t>
      </w:r>
    </w:p>
    <w:p>
      <w:pPr>
        <w:spacing w:before="360" w:after="120"/>
        <w:jc w:val="left"/>
        <w:pBdr>
          <w:bottom w:val="single" w:sz="4" w:space="1" w:color="000000"/>
        </w:pBdr>
      </w:pPr>
      <w:r>
        <w:rPr>
          <w:rFonts w:ascii="Times New Roman" w:hAnsi="Times New Roman"/>
          <w:b/>
          <w:i w:val="0"/>
          <w:color w:val="000000"/>
          <w:sz w:val="28"/>
        </w:rPr>
        <w:t>References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Robertson, S. &amp; Zaragoza, H. (2009). The Probabilistic Relevance Framework: BM25 and Beyond. Foundations and Trends in IR, 3(4), 333–389.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Cohan, A., Feldman, S., Beltagy, I., Downey, D., &amp; Weld, D. (2020). SPECTER: Document-level Representation Learning using Citation-informed Transformers. ACL 2020.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Cormack, G., Clarke, C., &amp; Buettcher, S. (2009). Reciprocal Rank Fusion outperforms Condorcet and individual rank learning methods. SIGIR 2009.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Grootendorst, M. (2022). BERTopic: Neural topic modeling with a class-based TF-IDF procedure. arXiv:2203.05794.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Page, L., Brin, S., Motwani, R., &amp; Winograd, T. (1999). The PageRank Citation Ranking: Bringing Order to the Web. Stanford Technical Report.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Manning, C., Raghavan, P., &amp; Schütze, H. (2008). Introduction to Information Retrieval. Cambridge University Press.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Pradeep, R., Ma, X., Lin, J., &amp; Nogueira, R. (2021). ms-marco-MiniLM cross-encoder. Hugging Face Model Hub.</w:t>
      </w:r>
    </w:p>
    <w:p>
      <w:pPr>
        <w:spacing w:after="80"/>
        <w:ind w:left="432" w:hanging="432"/>
      </w:pPr>
      <w:r>
        <w:rPr>
          <w:rFonts w:ascii="Times New Roman" w:hAnsi="Times New Roman"/>
          <w:b w:val="0"/>
          <w:i w:val="0"/>
          <w:color w:val="000000"/>
          <w:sz w:val="20"/>
        </w:rPr>
        <w:t>arXiv:2512.12760v1 — ISLE: An Information Systems Literature Explorer.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