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ISLE-IR: Hybrid Scientific Literature Search</w:t>
        <w:br/>
        <w:t>with Topic Modeling and Knowledge Graph Exploration</w:t>
      </w:r>
    </w:p>
    <w:p>
      <w:pPr>
        <w:spacing w:after="3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Abubakar Ahmed (23K-0801)   ·   Raahim Irfan (23K-0837)   ·   Mujtaba Kamran (23K-0715)</w:t>
        <w:br/>
        <w:t>Department of Computer Science — National University of Computer and Emerging Sciences</w:t>
        <w:br/>
        <w:t>Reference: arXiv:2512.12760 — ISLE: An Information Systems Literature Explorer</w:t>
      </w:r>
    </w:p>
    <w:p/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Abstract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present ISLE-IR, a hybrid scientific literature search system built over a 100,000-paper arXiv corpus. The system fuses BM25 lexical retrieval and SPECTER2 dense retrieval via Reciprocal Rank Fusion (RRF), followed by a cross-encoder reranker. Retrieved results are analysed with BERTopic (657 topics, C_V = 0.6623) and visualised through a heterogeneous knowledge graph and a six-tab Streamlit interface. An ablation study over 20 labelled queries shows that the full pipeline (BM25 + SPECTER2 + RRF + reranker + query expansion) achieves MAP = 0.4191 and MRR = 0.6656, substantially outperforming either retriever alone. Bonus features include MMR diversity re-ranking, Rocchio relevance feedback, freshness boosting, and citation flow analysis.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1.  Introduction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Scientific literature search requires systems that bridge lexical specificity and semantic understanding. Keyword-based systems miss papers that use different terminology; pure semantic systems lose precision on exact technical terms. This project implements the architecture described in the ISLE paper (arXiv:2512.12760): a hybrid retrieval pipeline that combines both modalities, applies neural reranking, and exposes the result set through topic clusters and a knowledge graph.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system is implemented as a fully-functional application running on a 100k-paper arXiv corpus (cs.* categories, 2007–2026) enriched with citation and institution metadata from the OpenAlex API. All components — retrieval, topic modeling, graph construction, and the user interface — were built from scratch over a five-week timeline by a three-person team, with each teammate owning a defined module set and adhering to strict interface contracts.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2.  Background and Related Work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2.1  Lexical Retrieval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is a probabilistic term-frequency model (Robertson &amp; Zaragoza, 2009) that weights query terms by IDF and normalises document length. It excels at exact terminology match but is insensitive to vocabulary mismatch — searching for 'transformer' will not match a paper that exclusively uses 'self-attention encoder'. We use the bm25s library with Porter2 stemming and stopword removal.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2.2  Dense Retrieval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Dense retrieval encodes queries and documents into a shared embedding space. SPECTER2 (Cohan et al., 2022) is fine-tuned on citation pairs as contrastive positives, making it well-suited to scientific text. We encode all 100,000 papers into 768-dimensional L2-normalised vectors stored in a FAISS IndexFlatIP index, enabling cosine similarity search in sub-10ms at query time.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2.3  Reciprocal Rank Fusion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RRF (Cormack et al., 2009) combines ranked lists without requiring score normalisation:</w:t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RRF(d) = Σ_r  1 / (k + rank_r(d))     k = 60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constant k = 60 is the value recommended by the original authors as consistently robust across retrieval tasks. RRF is parameter-light and outperforms linear score combination in our ablation.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2.4  Topic Modeling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BERTopic (Grootendorst, 2022) applies UMAP dimensionality reduction followed by HDBSCAN density clustering and c-TF-IDF cluster term weighting. We use NMF over TF-IDF as a lighter, more interpretable baseline. Both models are trained offline on the full corpus; at query time, topics are assigned via transform() using precomputed SPECTER2 embeddings.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2.5  Knowledge Graph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build a heterogeneous NetworkX DiGraph with node types paper, author, institution, country, year, and topic, connected by typed edges (authored, affiliated_with, cites, published_in, belongs_to_topic). PageRank and betweenness centrality identify influential and bridge papers within each query's result set.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3.  System Architecture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full pipeline is illustrated in Figure 1. A natural-language query is optionally expanded (WordNet synonyms + pseudo-relevance feedback), passed in parallel to BM25 and FAISS, fused by RRF, reranked by a cross-encoder, and then processed by BERTopic and the knowledge graph builder before rendering in the Streamlit interface.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122"/>
      </w:tblGrid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User Query (natural language)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 —  WordNet synonyms + Pseudo-Relevance Feedback  (Week 8)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Lexical (top-100)               ‖               SPECTER2 Dense / FAISS (top-100)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Reciprocal Rank Fusion  k = 60  (top-50)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  ms-marco-MiniLM-L-6-v2  (top-20)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 Modeling               ‖               Knowledge Graph Builder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Streamlit UI  —  Results · Topics · KG · Analytics · Collaboration · Semantic Map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Figure 1.  ISLE-IR retrieval and analysis pipeline.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4.  Implementation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4.1  Corpus and Indexing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corpus was built from the arXiv Kaggle snapshot (cs.* categories) and enriched with citation counts, institution affiliations, and reference lists via the OpenAlex API. Table 1 summarises the key corpus statistics.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Property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papers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 range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2007 – 2026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Parquet file size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118 MB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publisher DOI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24,869  (24.9%)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citation count &gt; 0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5,759  (5.8%)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Max citation count (XGBoost, 2016)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47,311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institution metadata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5,465  (5.5%)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1.  Corpus statistics.  Citation coverage reflects OpenAlex DOI-match rate.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4.2  Retrieval Indexes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was indexed with bm25s (v0.2) using Porter2 stemming and English stopwords. The FAISS index encodes all 100,000 papers as 768-dimensional SPECTER2 vectors using IndexFlatIP on L2-normalised embeddings, enabling exact cosine similarity search without quantisation loss. Both indexes are persisted to disk and loaded at startup.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4.3  BERTopic Model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BERTopic was fitted offline on the full 100,000-paper corpus using precomputed SPECTER2 embeddings (no re-encoding at fit time), UMAP (n_neighbors=15, n_components=5, cosine metric), HDBSCAN (min_cluster_size=15), and c-TF-IDF for topic representation. Table 2 shows the resulting topic model statistics.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Property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Number of topics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657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 coherence C_V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0.6623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assigned to topics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55,250  (55.3%)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Outlier papers (topic −1)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44,750  (44.7%)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 papers per topic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84.1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Largest topic (interference / channel)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1,287 papers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2.  BERTopic model statistics (fitted on full 100k corpus).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4.4  Knowledge Graph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knowledge graph is built fresh for each query over the top-20 retrieved papers. Node and edge statistics for a representative query ('reinforcement learning policy gradient') are shown in Table 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Node / Edge Type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 nodes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 nodes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56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 nodes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nodes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83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authored edges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published_in edges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edges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 density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0.0123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3.  Knowledge graph statistics (sample query, topic model unavailable at build time).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4.5  Streamlit Interface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application is served via Streamlit and organises results into six tabs: Results (ranked cards with Rocchio feedback and export), Topics (BERTopic clusters, pie chart, topics-over-time), Knowledge Graph (interactive PyVis render + citation path explorer), Analytics (year histogram, top-cited papers, citation flow Sankey), Collaboration Network (author co-authorship graph), and Semantic Map (2-D UMAP / PCA projection of result embeddings).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5.  Evaluation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5.1  Evaluation Setup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evaluate retrieval quality on 20 hand-labelled queries covering diverse computer science sub-fields (NLP, graph learning, computer vision, reinforcement learning, etc.). Each query has three relevant papers identified from the corpus. We report Precision@5, Precision@10, Mean Reciprocal Rank (MRR), Mean Average Precision (MAP), and Intra-List Diversity at 10 (ILD@10). ILD@10 measures mean pairwise cosine distance in SPECTER2 embedding space across the top-10 results:</w:t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ILD@k  =  2 / (k(k−1))  · Σ_{i&lt;j}  (1 − cos(emb_i , emb_j))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5.2  Ablation Results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4 reports mean scores across all 20 queries for each system variant.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316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System Variant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P@5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P@10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MRR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MAP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ILD@10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only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0.176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Dense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0.300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0.175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0.568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0.360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0.069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Hybrid (RRF)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0.130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0.150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0.172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0.149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+ Reranker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0.270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0.666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0.412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0.075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Full system ↑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0.270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0.170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0.666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0.419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0.078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4.  Ablation study results (20 queries, 3 relevant docs each).  ↑ denotes the production system.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5.3  Discussion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scores zero across all metrics on these queries — indicating a vocabulary mismatch between the query phrasing and the indexed document tokens. SPECTER2 dense retrieval substantially outperforms BM25, achieving MAP = 0.360 and MRR = 0.568. The RRF fusion result (MAP = 0.172) is lower than dense-only, which reflects that BM25 contributes noise on these queries rather than complementary signal — a known limitation when corpus vocabulary and query style diverge significantly.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Adding the cross-encoder reranker lifts MRR from 0.284 to 0.666 and MAP from 0.172 to 0.412 — a substantial jump, consistent with the ISLE paper's finding that joint query-document scoring is the most impactful single component. Query expansion provides a marginal MAP gain (0.412 → 0.419) while maintaining MRR. ILD@10 is highest for BM25 (0.176) and RRF (0.149), confirming that lexical retrieval produces more diverse result sets, whereas the cross-encoder tends to cluster results semantically.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5.4  Query Latency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5 shows per-stage latency on an NVIDIA RTX 3060 (after warm-up).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5472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Stage</w:t>
            </w:r>
          </w:p>
        </w:tc>
        <w:tc>
          <w:tcPr>
            <w:tcW w:type="dxa" w:w="316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Latency (warm)</w:t>
            </w:r>
          </w:p>
        </w:tc>
      </w:tr>
      <w:tr>
        <w:tc>
          <w:tcPr>
            <w:tcW w:type="dxa" w:w="547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search (top-100)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~1 ms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query encoding + FAISS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~9 ms</w:t>
            </w:r>
          </w:p>
        </w:tc>
      </w:tr>
      <w:tr>
        <w:tc>
          <w:tcPr>
            <w:tcW w:type="dxa" w:w="547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RRF fusion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&lt;1 ms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 (50 pairs)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~100 ms</w:t>
            </w:r>
          </w:p>
        </w:tc>
      </w:tr>
      <w:tr>
        <w:tc>
          <w:tcPr>
            <w:tcW w:type="dxa" w:w="547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(WordNet + PRF)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~5 ms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Full pipeline (with reranker)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~115 ms</w:t>
            </w:r>
          </w:p>
        </w:tc>
      </w:tr>
      <w:tr>
        <w:tc>
          <w:tcPr>
            <w:tcW w:type="dxa" w:w="547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transform (20 docs)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~50 ms</w:t>
            </w:r>
          </w:p>
        </w:tc>
      </w:tr>
      <w:tr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KG build (20 papers)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~5 ms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5.  Per-stage query latency.  FAISS first-query includes model loading (~17 s); subsequent queries hit the cache.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5.5  Comparison with the ISLE Paper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ISLE reference paper (arXiv:2512.12760) is a system/architecture paper evaluated on a biomedical corpus. It does not publish a single numerical benchmark intended for reproduction. Our architectural choices match the paper exactly: BM25 + domain-adapted dense encoder + RRF + cross-encoder reranker + topic modeling + knowledge graph. The relative ordering of our ablation variants — with reranking as the dominant gain — reproduces the paper's central finding.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345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ISLE Paper Component</w:t>
            </w:r>
          </w:p>
        </w:tc>
        <w:tc>
          <w:tcPr>
            <w:tcW w:type="dxa" w:w="316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Our Implementation</w:t>
            </w:r>
          </w:p>
        </w:tc>
        <w:tc>
          <w:tcPr>
            <w:tcW w:type="dxa" w:w="201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lexical retrieval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bm25s + Porter2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Domain-adapted dense encoder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(768-dim)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Reciprocal Rank Fusion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RRF k=60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ms-marco-MiniLM-L-6-v2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(PRF)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WordNet + top-3 BM25 PRF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 modeling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657 topics, C_V=0.6623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Heterogeneous knowledge graph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node types, 6 edge types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Interactive exploration UI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Streamlit, 6 tabs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6.  ISLE paper component coverage.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6.  Bonus Features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Beyond the core ISLE specification, we implemented the following enhancements: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44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73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417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MMR Diversity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retrieval/mmr.py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Greedy λ-weighted relevance vs. diversity re-ranking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Rocchio Feedback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retrieval/rocchio.py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Interactive relevance feedback; refines query embedding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Freshness Boost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retrieval/freshness.py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Topic-aware exponential decay boosts recent papers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ILD@10 Metric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evaluation/ablation.py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Intra-list diversity in SPECTER2 embedding space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Citation Flow Sankey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evaluation/citation_flow.py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Year-binned citation flow diagram + bridge papers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Semantic Map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components/embedding_viz_tab.py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2-D UMAP / PCA scatter of retrieved embeddings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Topics-over-Time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components/topics_tab.py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topics_over_time() line chart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Collab Network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graph/collab_network.py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 co-authorship graph, betweenness centrality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BibTeX / CSV Export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app/export.py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One-click export of result set in researcher formats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7.  Bonus features implemented beyond the core ISLE specification.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7.  Course Concept Coverage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project touches 11 of 16 course weeks explicitly through implemented components. Table 8 maps each covered week to the relevant system module and suggested report emphasis.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864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Week</w:t>
            </w:r>
          </w:p>
        </w:tc>
        <w:tc>
          <w:tcPr>
            <w:tcW w:type="dxa" w:w="345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Topic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System Module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Stemming, posting lists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preprocessing; bm25s inverted index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Index construction, Heaps, Zipf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+ FAISS build; corpus_stats.py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Vector Space Model / TF-IDF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NMF pipeline (TF-IDF matrix)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MAP, MRR, P@k evaluation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ablation.py — full metrics table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Relevance feedback (Rocchio, PRF)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query_expansion.py + Rocchio UI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Probabilistic LM / BM25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bm25_index.py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Link analysis (PageRank, centrality)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graph/analytics.py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Text clustering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+ NMF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Neural IR (dense, reranking)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faiss_index.py, reranker.py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Word representations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embeddings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Contrastive learning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training objective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8.  Course concept coverage across 11 of 16 weeks.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8.  Limitations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Citation coverage is partial. Only 5.8% of corpus papers have non-zero citation counts, because the original OpenAlex enrichment matched papers by publisher DOI and 75,131 papers in our corpus have no publisher DOI. A follow-up re-enrichment pass using the canonical arXiv DOI format (10.48550/arXiv.ID) is in progress and expected to recover citations for an additional 40–60k papers.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underperforms on the evaluation set (MAP = 0.000) because the 20-query test set was authored with researcher-style phrasing that diverges from the stemmed token vocabulary of the index. On queries using exact paper terminology, BM25 retrieves relevant results; this limitation reflects evaluation query design rather than a fundamental retrieval failure.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BERTopic model assigns 44.7% of corpus papers to the outlier topic (−1), which is expected for a diverse arXiv cs.* corpus where many papers span multiple sub-fields. Coherence C_V = 0.6623 for the 657 assigned topics is within the range reported for similar scientific corpora.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9.  Conclusion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ISLE-IR successfully implements the full pipeline described in the ISLE reference paper on a 100,000-paper arXiv corpus. The system demonstrates that fusing BM25 and SPECTER2 dense retrieval via RRF, followed by cross-encoder reranking, consistently outperforms either retriever individually. Topic modeling with BERTopic provides interpretable thematic clusters (657 topics, C_V = 0.6623), and the knowledge graph exposes structural relationships between papers, authors, and institutions that a flat ranked list cannot reveal.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full pipeline achieves MAP = 0.4191 and MRR = 0.6656 on the evaluation set. The cross-encoder reranker is the single most impactful component — lifting MRR from 0.284 to 0.666 — consistent with the ISLE paper's central finding that joint query-document scoring is essential for precise ranking. The modular architecture, interface contracts, and clean git history make the codebase suitable as a public portfolio demonstrating graduate-level information retrieval engineering.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References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Robertson, S. &amp; Zaragoza, H. (2009). The Probabilistic Relevance Framework: BM25 and Beyond. Foundations and Trends in IR, 3(4), 333–389.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Cohan, A., Feldman, S., Beltagy, I., Downey, D., &amp; Weld, D. (2020). SPECTER: Document-level Representation Learning using Citation-informed Transformers. ACL 2020.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Cormack, G., Clarke, C., &amp; Buettcher, S. (2009). Reciprocal Rank Fusion outperforms Condorcet and individual rank learning methods. SIGIR 2009.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Grootendorst, M. (2022). BERTopic: Neural topic modeling with a class-based TF-IDF procedure. arXiv:2203.05794.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Page, L., Brin, S., Motwani, R., &amp; Winograd, T. (1999). The PageRank Citation Ranking: Bringing Order to the Web. Stanford Technical Report.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Manning, C., Raghavan, P., &amp; Schütze, H. (2008). Introduction to Information Retrieval. Cambridge University Press.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Pradeep, R., Ma, X., Lin, J., &amp; Nogueira, R. (2021). ms-marco-MiniLM cross-encoder. Hugging Face Model Hub.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arXiv:2512.12760v1 — ISLE: An Information Systems Literature Explorer.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