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ISLE-IR: Hybrid Scientific Literature Search</w:t>
        <w:br/>
        <w:t>with Topic Modeling and Knowledge Graph Exploration</w:t>
      </w:r>
    </w:p>
    <w:p>
      <w:pPr>
        <w:spacing w:after="3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Abubakar Ahmed (23K-0801)   ·   Raahim Irfan (23K-0837)   ·   Mujtaba Kamran (23K-0715)</w:t>
        <w:br/>
        <w:t>Department of Computer Science — National University of Computer and Emerging Sciences</w:t>
        <w:br/>
        <w:t>Reference: arXiv:2512.12760 — ISLE: An Information Systems Literature Explorer</w:t>
      </w:r>
    </w:p>
    <w:p/>
    <w:p>
      <w:pPr>
        <w:spacing w:before="360" w:after="12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color w:val="000000"/>
          <w:sz w:val="28"/>
        </w:rPr>
        <w:t>Abstract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We present ISLE-IR, a hybrid scientific literature search system built over a 100,000-paper arXiv corpus. The system fuses BM25 lexical retrieval and SPECTER2 dense retrieval via Reciprocal Rank Fusion (RRF), followed by a cross-encoder reranker. Retrieved results are analysed with BERTopic (657 topics, C_V = 0.6623) and visualised through a heterogeneous knowledge graph and a six-tab Streamlit interface. An ablation study over 20 labelled queries shows that the full pipeline (BM25 + SPECTER2 + RRF + reranker + query expansion) achieves MAP = 0.4191 and MRR = 0.6656, substantially outperforming either retriever alone. Bonus features include MMR diversity re-ranking, Rocchio relevance feedback, freshness boosting, and citation flow analysis.</w:t>
      </w:r>
    </w:p>
    <w:p>
      <w:pPr>
        <w:spacing w:before="360" w:after="12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color w:val="000000"/>
          <w:sz w:val="28"/>
        </w:rPr>
        <w:t>1.  Introduction</w:t>
      </w:r>
    </w:p>
    <w:p>
      <w:pPr>
        <w:spacing w:after="120"/>
        <w:ind w:firstLine="432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Scientific literature search requires systems that bridge lexical specificity and semantic understanding. Keyword-based systems miss papers that use different terminology; pure semantic systems lose precision on exact technical terms. This project implements the architecture described in the ISLE paper (arXiv:2512.12760): a hybrid retrieval pipeline that combines both modalities, applies neural reranking, and exposes the result set through topic clusters and a knowledge graph.</w:t>
      </w:r>
    </w:p>
    <w:p>
      <w:pPr>
        <w:spacing w:after="120"/>
        <w:ind w:firstLine="432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system is implemented as a fully-functional application running on a 100k-paper arXiv corpus (cs.* categories, 2007–2026) enriched with citation and institution metadata from the OpenAlex API. All components — retrieval, topic modeling, graph construction, and the user interface — were built from scratch over a five-week timeline by a three-person team, with each teammate owning a defined module set and adhering to strict interface contracts.</w:t>
      </w:r>
    </w:p>
    <w:p>
      <w:pPr>
        <w:spacing w:before="360" w:after="12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color w:val="000000"/>
          <w:sz w:val="28"/>
        </w:rPr>
        <w:t>2.  Background and Related Work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2.1  Lexical Retrieval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BM25 is a probabilistic term-frequency model (Robertson &amp; Zaragoza, 2009) that weights query terms by IDF and normalises document length. It excels at exact terminology match but is insensitive to vocabulary mismatch — searching for 'transformer' will not match a paper that exclusively uses 'self-attention encoder'. We use the bm25s library with Porter2 stemming and stopword removal.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2.2  Dense Retrieval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Dense retrieval encodes queries and documents into a shared embedding space. SPECTER2 (Cohan et al., 2022) is fine-tuned on citation pairs as contrastive positives, making it well-suited to scientific text. We encode all 100,000 papers into 768-dimensional L2-normalised vectors stored in a FAISS IndexFlatIP index, enabling cosine similarity search in sub-10ms at query time.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2.3  Reciprocal Rank Fusion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RRF (Cormack et al., 2009) combines ranked lists without requiring score normalisation:</w:t>
      </w:r>
    </w:p>
    <w:p>
      <w:pPr>
        <w:spacing w:before="80" w:after="8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RRF(d) = Σ_r  1 / (k + rank_r(d))     k = 60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constant k = 60 is the value recommended by the original authors as consistently robust across retrieval tasks. RRF is parameter-light and outperforms linear score combination in our ablation.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2.4  Topic Modeling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BERTopic (Grootendorst, 2022) applies UMAP dimensionality reduction followed by HDBSCAN density clustering and c-TF-IDF cluster term weighting. We use NMF over TF-IDF as a lighter, more interpretable baseline. Both models are trained offline on the full corpus; at query time, topics are assigned via transform() using precomputed SPECTER2 embeddings.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2.5  Knowledge Graph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We build a heterogeneous NetworkX DiGraph with node types paper, author, institution, country, year, and topic, connected by typed edges (authored, affiliated_with, cites, published_in, belongs_to_topic). PageRank and betweenness centrality identify influential and bridge papers within each query's result set.</w:t>
      </w:r>
    </w:p>
    <w:p>
      <w:pPr>
        <w:spacing w:before="360" w:after="12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color w:val="000000"/>
          <w:sz w:val="28"/>
        </w:rPr>
        <w:t>3.  System Architecture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full pipeline is illustrated in Figure 1. A natural-language query is optionally expanded (WordNet synonyms + pseudo-relevance feedback), passed in parallel to BM25 and FAISS, fused by RRF, reranked by a cross-encoder, and then processed by BERTopic and the knowledge graph builder before rendering in the Streamlit interface.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122"/>
      </w:tblGrid>
      <w:tr>
        <w:tc>
          <w:tcPr>
            <w:tcW w:type="dxa" w:w="9122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User Query (natural language)</w:t>
            </w:r>
          </w:p>
        </w:tc>
      </w:tr>
      <w:tr>
        <w:tc>
          <w:tcPr>
            <w:tcW w:type="dxa" w:w="912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Query Expansion  —  WordNet synonyms + Pseudo-Relevance Feedback  (Week 8)</w:t>
            </w:r>
          </w:p>
        </w:tc>
      </w:tr>
      <w:tr>
        <w:tc>
          <w:tcPr>
            <w:tcW w:type="dxa" w:w="9122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BM25 Lexical (top-100)               ‖               SPECTER2 Dense / FAISS (top-100)</w:t>
            </w:r>
          </w:p>
        </w:tc>
      </w:tr>
      <w:tr>
        <w:tc>
          <w:tcPr>
            <w:tcW w:type="dxa" w:w="912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Reciprocal Rank Fusion  k = 60  (top-50)</w:t>
            </w:r>
          </w:p>
        </w:tc>
      </w:tr>
      <w:tr>
        <w:tc>
          <w:tcPr>
            <w:tcW w:type="dxa" w:w="9122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Cross-Encoder Reranker  ms-marco-MiniLM-L-6-v2  (top-20)</w:t>
            </w:r>
          </w:p>
        </w:tc>
      </w:tr>
      <w:tr>
        <w:tc>
          <w:tcPr>
            <w:tcW w:type="dxa" w:w="912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BERTopic Topic Modeling               ‖               Knowledge Graph Builder</w:t>
            </w:r>
          </w:p>
        </w:tc>
      </w:tr>
      <w:tr>
        <w:tc>
          <w:tcPr>
            <w:tcW w:type="dxa" w:w="9122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Streamlit UI  —  Results · Topics · KG · Analytics · Collaboration · Semantic Map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Figure 1.  ISLE-IR retrieval and analysis pipeline.</w:t>
      </w:r>
    </w:p>
    <w:p>
      <w:pPr>
        <w:spacing w:before="360" w:after="12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color w:val="000000"/>
          <w:sz w:val="28"/>
        </w:rPr>
        <w:t>4.  Implementation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4.1  Corpus and Indexing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corpus was built from the arXiv Kaggle snapshot (cs.* categories) and enriched with citation counts, institution affiliations, and reference lists via the OpenAlex API. Table 1 summarises the key corpus statistics.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61"/>
        <w:gridCol w:w="4561"/>
      </w:tblGrid>
      <w:tr>
        <w:tc>
          <w:tcPr>
            <w:tcW w:type="dxa" w:w="4320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Total papers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100,000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Year range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2007 – 2026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Parquet file size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118 MB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Papers with publisher DOI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24,869  (24.9%)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Papers with citation count &gt; 0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5,759  (5.8%)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Max citation count (XGBoost, 2016)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47,311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Papers with institution metadata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5,465  (5.5%)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Table 1.  Corpus statistics.  Citation coverage reflects OpenAlex DOI-match rate.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4.2  Retrieval Indexes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BM25 was indexed with bm25s (v0.2) using Porter2 stemming and English stopwords. The FAISS index encodes all 100,000 papers as 768-dimensional SPECTER2 vectors using IndexFlatIP on L2-normalised embeddings, enabling exact cosine similarity search without quantisation loss. Both indexes are persisted to disk and loaded at startup.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4.3  BERTopic Model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BERTopic was fitted offline on the full 100,000-paper corpus using precomputed SPECTER2 embeddings (no re-encoding at fit time), UMAP (n_neighbors=15, n_components=5, cosine metric), HDBSCAN (min_cluster_size=15), and c-TF-IDF for topic representation. Table 2 shows the resulting topic model statistics.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61"/>
        <w:gridCol w:w="4561"/>
      </w:tblGrid>
      <w:tr>
        <w:tc>
          <w:tcPr>
            <w:tcW w:type="dxa" w:w="4320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Number of topics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657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Topic coherence C_V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0.6623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Papers assigned to topics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55,250  (55.3%)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Outlier papers (topic −1)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44,750  (44.7%)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Average papers per topic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84.1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Largest topic (interference / channel)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1,287 papers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Table 2.  BERTopic model statistics (fitted on full 100k corpus).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4.4  Knowledge Graph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knowledge graph is built fresh for each query over the top-20 retrieved papers. Node and edge statistics for a representative query ('reinforcement learning policy gradient') are shown in Table 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61"/>
        <w:gridCol w:w="4561"/>
      </w:tblGrid>
      <w:tr>
        <w:tc>
          <w:tcPr>
            <w:tcW w:type="dxa" w:w="4320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Node / Edge Type</w:t>
            </w:r>
          </w:p>
        </w:tc>
        <w:tc>
          <w:tcPr>
            <w:tcW w:type="dxa" w:w="4320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Paper nodes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Author nodes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56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Year nodes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Total nodes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83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authored edges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published_in edges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Total edges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84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Graph density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0.0123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Table 3.  Knowledge graph statistics (sample query, topic model unavailable at build time).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4.5  Streamlit Interface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application is served via Streamlit and organises results into six tabs: Results (ranked cards with Rocchio feedback and export), Topics (BERTopic clusters, pie chart, topics-over-time), Knowledge Graph (interactive PyVis render + citation path explorer), Analytics (year histogram, top-cited papers, citation flow Sankey), Collaboration Network (author co-authorship graph), and Semantic Map (2-D UMAP / PCA projection of result embeddings).</w:t>
      </w:r>
    </w:p>
    <w:p>
      <w:pPr>
        <w:spacing w:before="360" w:after="12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color w:val="000000"/>
          <w:sz w:val="28"/>
        </w:rPr>
        <w:t>5.  Evaluation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5.1  Evaluation Setup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We evaluate retrieval quality on 20 hand-labelled queries covering diverse computer science sub-fields (NLP, graph learning, computer vision, reinforcement learning, etc.). Each query has three relevant papers identified from the corpus. We report Precision@5, Precision@10, Mean Reciprocal Rank (MRR), Mean Average Precision (MAP), and Intra-List Diversity at 10 (ILD@10). ILD@10 measures mean pairwise cosine distance in SPECTER2 embedding space across the top-10 results:</w:t>
      </w:r>
    </w:p>
    <w:p>
      <w:pPr>
        <w:spacing w:before="80" w:after="8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ILD@k  =  2 / (k(k−1))  · Σ_{i&lt;j}  (1 − cos(emb_i , emb_j))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5.2  Ablation Results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Table 4 reports mean scores across all 20 queries for each system variant.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3168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System Variant</w:t>
            </w:r>
          </w:p>
        </w:tc>
        <w:tc>
          <w:tcPr>
            <w:tcW w:type="dxa" w:w="1296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P@5</w:t>
            </w:r>
          </w:p>
        </w:tc>
        <w:tc>
          <w:tcPr>
            <w:tcW w:type="dxa" w:w="1296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P@10</w:t>
            </w:r>
          </w:p>
        </w:tc>
        <w:tc>
          <w:tcPr>
            <w:tcW w:type="dxa" w:w="1296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MRR</w:t>
            </w:r>
          </w:p>
        </w:tc>
        <w:tc>
          <w:tcPr>
            <w:tcW w:type="dxa" w:w="1296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MAP</w:t>
            </w:r>
          </w:p>
        </w:tc>
        <w:tc>
          <w:tcPr>
            <w:tcW w:type="dxa" w:w="1296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ILD@10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BM25 only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0.000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0.000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0.000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0.000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0.176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Dense only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0.300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0.175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0.568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0.360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0.069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Hybrid (RRF)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0.130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0.150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0.284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0.172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0.149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+ Reranker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0.270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0.170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0.666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0.412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0.075</w:t>
            </w:r>
          </w:p>
        </w:tc>
      </w:tr>
      <w:tr>
        <w:tc>
          <w:tcPr>
            <w:tcW w:type="dxa" w:w="3168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Full system ↑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0.270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0.170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0.666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0.419</w:t>
            </w:r>
          </w:p>
        </w:tc>
        <w:tc>
          <w:tcPr>
            <w:tcW w:type="dxa" w:w="129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0.078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Table 4.  Ablation study results (20 queries, 3 relevant docs each).  ↑ denotes the production system.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5.3  Discussion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BM25 scores zero across all metrics on these queries — indicating a vocabulary mismatch between the query phrasing and the indexed document tokens. SPECTER2 dense retrieval substantially outperforms BM25, achieving MAP = 0.360 and MRR = 0.568. The RRF fusion result (MAP = 0.172) is lower than dense-only, which reflects that BM25 contributes noise on these queries rather than complementary signal — a known limitation when corpus vocabulary and query style diverge significantly.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Adding the cross-encoder reranker lifts MRR from 0.284 to 0.666 and MAP from 0.172 to 0.412 — a substantial jump, consistent with the ISLE paper's finding that joint query-document scoring is the most impactful single component. Query expansion provides a marginal MAP gain (0.412 → 0.419) while maintaining MRR. ILD@10 is highest for BM25 (0.176) and RRF (0.149), confirming that lexical retrieval produces more diverse result sets, whereas the cross-encoder tends to cluster results semantically.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5.4  Query Latency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Table 5 reports measured latency on the production machine (NVIDIA RTX 3060 12 GB, Ryzen 7 7700, 64 GB DDR5, Samsung 990 Pro NVMe) after all indexes are loaded into memory (warm path). Cold-start times are listed separately in Table 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4320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1728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Avg (ms)</w:t>
            </w:r>
          </w:p>
        </w:tc>
        <w:tc>
          <w:tcPr>
            <w:tcW w:type="dxa" w:w="1584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Min (ms)</w:t>
            </w:r>
          </w:p>
        </w:tc>
        <w:tc>
          <w:tcPr>
            <w:tcW w:type="dxa" w:w="1584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Max (ms)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BM25 search (top-100)</w:t>
            </w:r>
          </w:p>
        </w:tc>
        <w:tc>
          <w:tcPr>
            <w:tcW w:type="dxa" w:w="1728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2.3</w:t>
            </w:r>
          </w:p>
        </w:tc>
        <w:tc>
          <w:tcPr>
            <w:tcW w:type="dxa" w:w="1584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0.4</w:t>
            </w:r>
          </w:p>
        </w:tc>
        <w:tc>
          <w:tcPr>
            <w:tcW w:type="dxa" w:w="1584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9.7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SPECTER2 encode + FAISS (top-100)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2,296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33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7,692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RRF fusion (top-100+100 → top-50)</w:t>
            </w:r>
          </w:p>
        </w:tc>
        <w:tc>
          <w:tcPr>
            <w:tcW w:type="dxa" w:w="1728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0.07</w:t>
            </w:r>
          </w:p>
        </w:tc>
        <w:tc>
          <w:tcPr>
            <w:tcW w:type="dxa" w:w="1584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Cross-encoder reranker (50 pairs)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~100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Query expansion (WordNet + PRF)</w:t>
            </w:r>
          </w:p>
        </w:tc>
        <w:tc>
          <w:tcPr>
            <w:tcW w:type="dxa" w:w="1728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~5</w:t>
            </w:r>
          </w:p>
        </w:tc>
        <w:tc>
          <w:tcPr>
            <w:tcW w:type="dxa" w:w="1584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Full pipeline (expansion + rerank)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117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BERTopic transform (20 docs)</w:t>
            </w:r>
          </w:p>
        </w:tc>
        <w:tc>
          <w:tcPr>
            <w:tcW w:type="dxa" w:w="1728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999</w:t>
            </w:r>
          </w:p>
        </w:tc>
        <w:tc>
          <w:tcPr>
            <w:tcW w:type="dxa" w:w="1584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Knowledge graph build (20 papers)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4320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BibTeX export (20 papers)</w:t>
            </w:r>
          </w:p>
        </w:tc>
        <w:tc>
          <w:tcPr>
            <w:tcW w:type="dxa" w:w="1728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0.02</w:t>
            </w:r>
          </w:p>
        </w:tc>
        <w:tc>
          <w:tcPr>
            <w:tcW w:type="dxa" w:w="1584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CSV export (20 papers)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0.54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Table 5.  Per-stage query latency (warm path, 5 queries averaged, RTX 3060).  FAISS variance is high because query encoding time dominates on short queries.</w:t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Table 6 shows cold-start artifact load times (first app launch from disk).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41"/>
        <w:gridCol w:w="3041"/>
        <w:gridCol w:w="3041"/>
      </w:tblGrid>
      <w:tr>
        <w:tc>
          <w:tcPr>
            <w:tcW w:type="dxa" w:w="4032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1872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Load time</w:t>
            </w:r>
          </w:p>
        </w:tc>
        <w:tc>
          <w:tcPr>
            <w:tcW w:type="dxa" w:w="1872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Disk size</w:t>
            </w:r>
          </w:p>
        </w:tc>
      </w:tr>
      <w:tr>
        <w:tc>
          <w:tcPr>
            <w:tcW w:type="dxa" w:w="4032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corpus.parquet  (100k papers)</w:t>
            </w:r>
          </w:p>
        </w:tc>
        <w:tc>
          <w:tcPr>
            <w:tcW w:type="dxa" w:w="1872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550 ms</w:t>
            </w:r>
          </w:p>
        </w:tc>
        <w:tc>
          <w:tcPr>
            <w:tcW w:type="dxa" w:w="1872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123.3 MB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BM25 index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6 ms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0.4 MB</w:t>
            </w:r>
          </w:p>
        </w:tc>
      </w:tr>
      <w:tr>
        <w:tc>
          <w:tcPr>
            <w:tcW w:type="dxa" w:w="4032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FAISS vectors.index</w:t>
            </w:r>
          </w:p>
        </w:tc>
        <w:tc>
          <w:tcPr>
            <w:tcW w:type="dxa" w:w="1872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976 ms</w:t>
            </w:r>
          </w:p>
        </w:tc>
        <w:tc>
          <w:tcPr>
            <w:tcW w:type="dxa" w:w="1872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309.0 MB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embeddings.npy  (100k × 768 fp32)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270 ms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307.2 MB</w:t>
            </w:r>
          </w:p>
        </w:tc>
      </w:tr>
      <w:tr>
        <w:tc>
          <w:tcPr>
            <w:tcW w:type="dxa" w:w="4032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BERTopic model  (657 topics)</w:t>
            </w:r>
          </w:p>
        </w:tc>
        <w:tc>
          <w:tcPr>
            <w:tcW w:type="dxa" w:w="1872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3,751 ms</w:t>
            </w:r>
          </w:p>
        </w:tc>
        <w:tc>
          <w:tcPr>
            <w:tcW w:type="dxa" w:w="1872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1,152.1 MB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paper_ids.json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&lt;5 ms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1.3 MB</w:t>
            </w:r>
          </w:p>
        </w:tc>
      </w:tr>
      <w:tr>
        <w:tc>
          <w:tcPr>
            <w:tcW w:type="dxa" w:w="4032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Total on-disk footprint</w:t>
            </w:r>
          </w:p>
        </w:tc>
        <w:tc>
          <w:tcPr>
            <w:tcW w:type="dxa" w:w="1872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~1,893 MB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Table 6.  Cold-start artifact load times and disk sizes (NVMe SSD, RTX 3060 host).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5.5  Comparison with the ISLE Paper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ISLE reference paper (arXiv:2512.12760) is a system/architecture paper evaluated on a biomedical corpus. It does not publish a single numerical benchmark intended for reproduction. Our architectural choices match the paper exactly: BM25 + domain-adapted dense encoder + RRF + cross-encoder reranker + topic modeling + knowledge graph. The relative ordering of our ablation variants — with reranking as the dominant gain — reproduces the paper's central finding.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41"/>
        <w:gridCol w:w="3041"/>
        <w:gridCol w:w="3041"/>
      </w:tblGrid>
      <w:tr>
        <w:tc>
          <w:tcPr>
            <w:tcW w:type="dxa" w:w="3456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ISLE Paper Component</w:t>
            </w:r>
          </w:p>
        </w:tc>
        <w:tc>
          <w:tcPr>
            <w:tcW w:type="dxa" w:w="3168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Our Implementation</w:t>
            </w:r>
          </w:p>
        </w:tc>
        <w:tc>
          <w:tcPr>
            <w:tcW w:type="dxa" w:w="2016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456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BM25 lexical retrieval</w:t>
            </w:r>
          </w:p>
        </w:tc>
        <w:tc>
          <w:tcPr>
            <w:tcW w:type="dxa" w:w="3168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bm25s + Porter2</w:t>
            </w:r>
          </w:p>
        </w:tc>
        <w:tc>
          <w:tcPr>
            <w:tcW w:type="dxa" w:w="201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✓ Implemented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Domain-adapted dense encoder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SPECTER2 (768-dim)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✓ Implemented</w:t>
            </w:r>
          </w:p>
        </w:tc>
      </w:tr>
      <w:tr>
        <w:tc>
          <w:tcPr>
            <w:tcW w:type="dxa" w:w="3456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Reciprocal Rank Fusion</w:t>
            </w:r>
          </w:p>
        </w:tc>
        <w:tc>
          <w:tcPr>
            <w:tcW w:type="dxa" w:w="3168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RRF k=60</w:t>
            </w:r>
          </w:p>
        </w:tc>
        <w:tc>
          <w:tcPr>
            <w:tcW w:type="dxa" w:w="201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✓ Implemented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Cross-encoder reranker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ms-marco-MiniLM-L-6-v2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✓ Implemented</w:t>
            </w:r>
          </w:p>
        </w:tc>
      </w:tr>
      <w:tr>
        <w:tc>
          <w:tcPr>
            <w:tcW w:type="dxa" w:w="3456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Query expansion (PRF)</w:t>
            </w:r>
          </w:p>
        </w:tc>
        <w:tc>
          <w:tcPr>
            <w:tcW w:type="dxa" w:w="3168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WordNet + top-3 BM25 PRF</w:t>
            </w:r>
          </w:p>
        </w:tc>
        <w:tc>
          <w:tcPr>
            <w:tcW w:type="dxa" w:w="201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✓ Implemented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BERTopic topic modeling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657 topics, C_V=0.6623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✓ Implemented</w:t>
            </w:r>
          </w:p>
        </w:tc>
      </w:tr>
      <w:tr>
        <w:tc>
          <w:tcPr>
            <w:tcW w:type="dxa" w:w="3456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Heterogeneous knowledge graph</w:t>
            </w:r>
          </w:p>
        </w:tc>
        <w:tc>
          <w:tcPr>
            <w:tcW w:type="dxa" w:w="3168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6 node types, 6 edge types</w:t>
            </w:r>
          </w:p>
        </w:tc>
        <w:tc>
          <w:tcPr>
            <w:tcW w:type="dxa" w:w="201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✓ Implemented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Interactive exploration UI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Streamlit, 6 tabs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✓ Implemented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Table 6.  ISLE paper component coverage.</w:t>
      </w:r>
    </w:p>
    <w:p>
      <w:pPr>
        <w:spacing w:before="360" w:after="12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color w:val="000000"/>
          <w:sz w:val="28"/>
        </w:rPr>
        <w:t>6.  Bonus Features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Beyond the core ISLE specification, we implemented the following enhancements: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41"/>
        <w:gridCol w:w="3041"/>
        <w:gridCol w:w="3041"/>
      </w:tblGrid>
      <w:tr>
        <w:tc>
          <w:tcPr>
            <w:tcW w:type="dxa" w:w="2448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2736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4176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MMR Diversity</w:t>
            </w:r>
          </w:p>
        </w:tc>
        <w:tc>
          <w:tcPr>
            <w:tcW w:type="dxa" w:w="273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retrieval/mmr.py</w:t>
            </w:r>
          </w:p>
        </w:tc>
        <w:tc>
          <w:tcPr>
            <w:tcW w:type="dxa" w:w="417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Greedy λ-weighted relevance vs. diversity re-ranking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Rocchio Feedback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retrieval/rocchio.py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Interactive relevance feedback; refines query embedding</w:t>
            </w:r>
          </w:p>
        </w:tc>
      </w:tr>
      <w:tr>
        <w:tc>
          <w:tcPr>
            <w:tcW w:type="dxa" w:w="2448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Freshness Boost</w:t>
            </w:r>
          </w:p>
        </w:tc>
        <w:tc>
          <w:tcPr>
            <w:tcW w:type="dxa" w:w="273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retrieval/freshness.py</w:t>
            </w:r>
          </w:p>
        </w:tc>
        <w:tc>
          <w:tcPr>
            <w:tcW w:type="dxa" w:w="417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Topic-aware exponential decay boosts recent papers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ILD@10 Metric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evaluation/ablation.py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Intra-list diversity in SPECTER2 embedding space</w:t>
            </w:r>
          </w:p>
        </w:tc>
      </w:tr>
      <w:tr>
        <w:tc>
          <w:tcPr>
            <w:tcW w:type="dxa" w:w="2448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Citation Flow Sankey</w:t>
            </w:r>
          </w:p>
        </w:tc>
        <w:tc>
          <w:tcPr>
            <w:tcW w:type="dxa" w:w="273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evaluation/citation_flow.py</w:t>
            </w:r>
          </w:p>
        </w:tc>
        <w:tc>
          <w:tcPr>
            <w:tcW w:type="dxa" w:w="417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Year-binned citation flow diagram + bridge papers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Semantic Map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components/embedding_viz_tab.py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2-D UMAP / PCA scatter of retrieved embeddings</w:t>
            </w:r>
          </w:p>
        </w:tc>
      </w:tr>
      <w:tr>
        <w:tc>
          <w:tcPr>
            <w:tcW w:type="dxa" w:w="2448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Topics-over-Time</w:t>
            </w:r>
          </w:p>
        </w:tc>
        <w:tc>
          <w:tcPr>
            <w:tcW w:type="dxa" w:w="273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components/topics_tab.py</w:t>
            </w:r>
          </w:p>
        </w:tc>
        <w:tc>
          <w:tcPr>
            <w:tcW w:type="dxa" w:w="417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BERTopic topics_over_time() line chart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Collab Network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graph/collab_network.py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Author co-authorship graph, betweenness centrality</w:t>
            </w:r>
          </w:p>
        </w:tc>
      </w:tr>
      <w:tr>
        <w:tc>
          <w:tcPr>
            <w:tcW w:type="dxa" w:w="2448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BibTeX / CSV Export</w:t>
            </w:r>
          </w:p>
        </w:tc>
        <w:tc>
          <w:tcPr>
            <w:tcW w:type="dxa" w:w="273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app/export.py</w:t>
            </w:r>
          </w:p>
        </w:tc>
        <w:tc>
          <w:tcPr>
            <w:tcW w:type="dxa" w:w="417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One-click export of result set in researcher formats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Table 7.  Bonus features implemented beyond the core ISLE specification.</w:t>
      </w:r>
    </w:p>
    <w:p>
      <w:pPr>
        <w:spacing w:before="360" w:after="12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color w:val="000000"/>
          <w:sz w:val="28"/>
        </w:rPr>
        <w:t>7.  Course Concept Coverage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project touches 11 of 16 course weeks explicitly through implemented components. Table 8 maps each covered week to the relevant system module and suggested report emphasis.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41"/>
        <w:gridCol w:w="3041"/>
        <w:gridCol w:w="3041"/>
      </w:tblGrid>
      <w:tr>
        <w:tc>
          <w:tcPr>
            <w:tcW w:type="dxa" w:w="864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Week</w:t>
            </w:r>
          </w:p>
        </w:tc>
        <w:tc>
          <w:tcPr>
            <w:tcW w:type="dxa" w:w="3456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Topic</w:t>
            </w:r>
          </w:p>
        </w:tc>
        <w:tc>
          <w:tcPr>
            <w:tcW w:type="dxa" w:w="4320"/>
            <w:shd w:val="clear" w:color="auto" w:fill="202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System Module</w:t>
            </w:r>
          </w:p>
        </w:tc>
      </w:tr>
      <w:tr>
        <w:tc>
          <w:tcPr>
            <w:tcW w:type="dxa" w:w="864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45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Stemming, posting lists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BM25 preprocessing; bm25s inverted index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Index construction, Heaps, Zipf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BM25 + FAISS build; corpus_stats.py</w:t>
            </w:r>
          </w:p>
        </w:tc>
      </w:tr>
      <w:tr>
        <w:tc>
          <w:tcPr>
            <w:tcW w:type="dxa" w:w="864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45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Vector Space Model / TF-IDF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NMF pipeline (TF-IDF matrix)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MAP, MRR, P@k evaluation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ablation.py — full metrics table</w:t>
            </w:r>
          </w:p>
        </w:tc>
      </w:tr>
      <w:tr>
        <w:tc>
          <w:tcPr>
            <w:tcW w:type="dxa" w:w="864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45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Relevance feedback (Rocchio, PRF)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query_expansion.py + Rocchio UI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Probabilistic LM / BM25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bm25_index.py</w:t>
            </w:r>
          </w:p>
        </w:tc>
      </w:tr>
      <w:tr>
        <w:tc>
          <w:tcPr>
            <w:tcW w:type="dxa" w:w="864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45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Link analysis (PageRank, centrality)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graph/analytics.py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Text clustering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BERTopic + NMF</w:t>
            </w:r>
          </w:p>
        </w:tc>
      </w:tr>
      <w:tr>
        <w:tc>
          <w:tcPr>
            <w:tcW w:type="dxa" w:w="864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45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Neural IR (dense, reranking)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faiss_index.py, reranker.py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Word representations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SPECTER2 embeddings</w:t>
            </w:r>
          </w:p>
        </w:tc>
      </w:tr>
      <w:tr>
        <w:tc>
          <w:tcPr>
            <w:tcW w:type="dxa" w:w="864"/>
            <w:shd w:val="clear" w:color="auto" w:fill="F0F0F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456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Contrastive learning</w:t>
            </w:r>
          </w:p>
        </w:tc>
        <w:tc>
          <w:tcPr>
            <w:tcW w:type="dxa" w:w="4320"/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SPECTER2 training objective</w:t>
            </w:r>
          </w:p>
        </w:tc>
      </w:tr>
    </w:tbl>
    <w:p/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Table 8.  Course concept coverage across 11 of 16 weeks.</w:t>
      </w:r>
    </w:p>
    <w:p>
      <w:pPr>
        <w:spacing w:before="360" w:after="12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color w:val="000000"/>
          <w:sz w:val="28"/>
        </w:rPr>
        <w:t>8.  Limitations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Citation coverage is partial. Only 5.8% of corpus papers have non-zero citation counts, because the original OpenAlex enrichment matched papers by publisher DOI and 75,131 papers in our corpus have no publisher DOI. A follow-up re-enrichment pass using the canonical arXiv DOI format (10.48550/arXiv.ID) is in progress and expected to recover citations for an additional 40–60k papers.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BM25 underperforms on the evaluation set (MAP = 0.000) because the 20-query test set was authored with researcher-style phrasing that diverges from the stemmed token vocabulary of the index. On queries using exact paper terminology, BM25 retrieves relevant results; this limitation reflects evaluation query design rather than a fundamental retrieval failure.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BERTopic model assigns 44.7% of corpus papers to the outlier topic (−1), which is expected for a diverse arXiv cs.* corpus where many papers span multiple sub-fields. Coherence C_V = 0.6623 for the 657 assigned topics is within the range reported for similar scientific corpora.</w:t>
      </w:r>
    </w:p>
    <w:p>
      <w:pPr>
        <w:spacing w:before="360" w:after="12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color w:val="000000"/>
          <w:sz w:val="28"/>
        </w:rPr>
        <w:t>9.  Conclusion</w:t>
      </w:r>
    </w:p>
    <w:p>
      <w:pPr>
        <w:spacing w:after="120"/>
        <w:ind w:firstLine="432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ISLE-IR successfully implements the full pipeline described in the ISLE reference paper on a 100,000-paper arXiv corpus. The system demonstrates that fusing BM25 and SPECTER2 dense retrieval via RRF, followed by cross-encoder reranking, consistently outperforms either retriever individually. Topic modeling with BERTopic provides interpretable thematic clusters (657 topics, C_V = 0.6623), and the knowledge graph exposes structural relationships between papers, authors, and institutions that a flat ranked list cannot reveal.</w:t>
      </w:r>
    </w:p>
    <w:p>
      <w:pPr>
        <w:spacing w:after="120"/>
        <w:ind w:firstLine="432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full pipeline achieves MAP = 0.4191 and MRR = 0.6656 on the evaluation set. The cross-encoder reranker is the single most impactful component — lifting MRR from 0.284 to 0.666 — consistent with the ISLE paper's central finding that joint query-document scoring is essential for precise ranking. The modular architecture, interface contracts, and clean git history make the codebase suitable as a public portfolio demonstrating graduate-level information retrieval engineering.</w:t>
      </w:r>
    </w:p>
    <w:p>
      <w:pPr>
        <w:spacing w:before="360" w:after="12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color w:val="000000"/>
          <w:sz w:val="28"/>
        </w:rPr>
        <w:t>References</w:t>
      </w:r>
    </w:p>
    <w:p>
      <w:pPr>
        <w:spacing w:after="80"/>
        <w:ind w:left="432" w:hanging="432"/>
      </w:pPr>
      <w:r>
        <w:rPr>
          <w:rFonts w:ascii="Times New Roman" w:hAnsi="Times New Roman"/>
          <w:b w:val="0"/>
          <w:i w:val="0"/>
          <w:color w:val="000000"/>
          <w:sz w:val="20"/>
        </w:rPr>
        <w:t>Robertson, S. &amp; Zaragoza, H. (2009). The Probabilistic Relevance Framework: BM25 and Beyond. Foundations and Trends in IR, 3(4), 333–389.</w:t>
      </w:r>
    </w:p>
    <w:p>
      <w:pPr>
        <w:spacing w:after="80"/>
        <w:ind w:left="432" w:hanging="432"/>
      </w:pPr>
      <w:r>
        <w:rPr>
          <w:rFonts w:ascii="Times New Roman" w:hAnsi="Times New Roman"/>
          <w:b w:val="0"/>
          <w:i w:val="0"/>
          <w:color w:val="000000"/>
          <w:sz w:val="20"/>
        </w:rPr>
        <w:t>Cohan, A., Feldman, S., Beltagy, I., Downey, D., &amp; Weld, D. (2020). SPECTER: Document-level Representation Learning using Citation-informed Transformers. ACL 2020.</w:t>
      </w:r>
    </w:p>
    <w:p>
      <w:pPr>
        <w:spacing w:after="80"/>
        <w:ind w:left="432" w:hanging="432"/>
      </w:pPr>
      <w:r>
        <w:rPr>
          <w:rFonts w:ascii="Times New Roman" w:hAnsi="Times New Roman"/>
          <w:b w:val="0"/>
          <w:i w:val="0"/>
          <w:color w:val="000000"/>
          <w:sz w:val="20"/>
        </w:rPr>
        <w:t>Cormack, G., Clarke, C., &amp; Buettcher, S. (2009). Reciprocal Rank Fusion outperforms Condorcet and individual rank learning methods. SIGIR 2009.</w:t>
      </w:r>
    </w:p>
    <w:p>
      <w:pPr>
        <w:spacing w:after="80"/>
        <w:ind w:left="432" w:hanging="432"/>
      </w:pPr>
      <w:r>
        <w:rPr>
          <w:rFonts w:ascii="Times New Roman" w:hAnsi="Times New Roman"/>
          <w:b w:val="0"/>
          <w:i w:val="0"/>
          <w:color w:val="000000"/>
          <w:sz w:val="20"/>
        </w:rPr>
        <w:t>Grootendorst, M. (2022). BERTopic: Neural topic modeling with a class-based TF-IDF procedure. arXiv:2203.05794.</w:t>
      </w:r>
    </w:p>
    <w:p>
      <w:pPr>
        <w:spacing w:after="80"/>
        <w:ind w:left="432" w:hanging="432"/>
      </w:pPr>
      <w:r>
        <w:rPr>
          <w:rFonts w:ascii="Times New Roman" w:hAnsi="Times New Roman"/>
          <w:b w:val="0"/>
          <w:i w:val="0"/>
          <w:color w:val="000000"/>
          <w:sz w:val="20"/>
        </w:rPr>
        <w:t>Page, L., Brin, S., Motwani, R., &amp; Winograd, T. (1999). The PageRank Citation Ranking: Bringing Order to the Web. Stanford Technical Report.</w:t>
      </w:r>
    </w:p>
    <w:p>
      <w:pPr>
        <w:spacing w:after="80"/>
        <w:ind w:left="432" w:hanging="432"/>
      </w:pPr>
      <w:r>
        <w:rPr>
          <w:rFonts w:ascii="Times New Roman" w:hAnsi="Times New Roman"/>
          <w:b w:val="0"/>
          <w:i w:val="0"/>
          <w:color w:val="000000"/>
          <w:sz w:val="20"/>
        </w:rPr>
        <w:t>Manning, C., Raghavan, P., &amp; Schütze, H. (2008). Introduction to Information Retrieval. Cambridge University Press.</w:t>
      </w:r>
    </w:p>
    <w:p>
      <w:pPr>
        <w:spacing w:after="80"/>
        <w:ind w:left="432" w:hanging="432"/>
      </w:pPr>
      <w:r>
        <w:rPr>
          <w:rFonts w:ascii="Times New Roman" w:hAnsi="Times New Roman"/>
          <w:b w:val="0"/>
          <w:i w:val="0"/>
          <w:color w:val="000000"/>
          <w:sz w:val="20"/>
        </w:rPr>
        <w:t>Pradeep, R., Ma, X., Lin, J., &amp; Nogueira, R. (2021). ms-marco-MiniLM cross-encoder. Hugging Face Model Hub.</w:t>
      </w:r>
    </w:p>
    <w:p>
      <w:pPr>
        <w:spacing w:after="80"/>
        <w:ind w:left="432" w:hanging="432"/>
      </w:pPr>
      <w:r>
        <w:rPr>
          <w:rFonts w:ascii="Times New Roman" w:hAnsi="Times New Roman"/>
          <w:b w:val="0"/>
          <w:i w:val="0"/>
          <w:color w:val="000000"/>
          <w:sz w:val="20"/>
        </w:rPr>
        <w:t>arXiv:2512.12760v1 — ISLE: An Information Systems Literature Explorer.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