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KAILA RAAJIV KIRITI REDDY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 w:val="false"/>
          <w:iCs w:val="false"/>
          <w:color w:val="1A56A0"/>
          <w:sz w:val="20"/>
          <w:szCs w:val="20"/>
        </w:rPr>
        <w:t xml:space="preserve">ML Engineer  |  Edge AI &amp; On-Device Inference  •  Deep Learning Systems  •  C++ / Python / CUDA</w:t>
      </w:r>
    </w:p>
    <w:p>
      <w:pPr>
        <w:tabs>
          <w:tab w:val="center" w:pos="4680"/>
          <w:tab w:val="right" w:pos="9360"/>
        </w:tabs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+91 9515483378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raajiv9515@gmail.com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LinkedIn Profile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Hyderabad, Telangana, India</w:t>
      </w:r>
    </w:p>
    <w:p>
      <w:pPr>
        <w:pBdr>
          <w:bottom w:val="single" w:color="1A56A0" w:sz="12" w:space="1"/>
        </w:pBdr>
        <w:spacing w:after="60" w:before="0"/>
      </w:pPr>
    </w:p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ML Engineer with hands-on experience building production-grade deep learning systems — from hybrid CNN-Transformer model development and neural network inference optimization to C++-accelerated pipelines and on-device edge AI deployment. Experienced with quantization, multi-GPU parallelization via CUDA and MPI, and PyTorch-based model compression for resource-constrained environments. Proficient in Python, C++, PyTorch, TensorFlow, and AWS; skilled in CI/CD automation and deploying real-time ML services via FastAPI.</w:t>
      </w:r>
    </w:p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CNN, Bi-LSTM, Transformer (Self-Attention, Cross-Attention), ResNet, Hybrid Architectures, Neural Network Inference, On-Device AI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C++, Python, SQL — Design Patterns, OS Concepts, Performance-Critical Systems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ML 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PyTorch, TensorFlow, Scikit-learn, ONNX, Pandas, NumPy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Inference &amp; Optim.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Quantization (FP→INT8/Fixed-Point), Model Compression, Edge Deployment, CUDA, MPI, Multi-GPU Parallelization, Hardware Accelerators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Cloud &amp; MLOps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AWS, Docker, Docker Compose, CI/CD, FastAPI, Microservices, Apache Airflow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ETL/ELT Pipelines, PostgreSQL, Data Lakes, Synthetic Data Generation, Experimental Design</w:t>
            </w:r>
          </w:p>
        </w:tc>
      </w:tr>
    </w:tbl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Associate — ML Systems &amp; AI Tooling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b w:val="false"/>
          <w:bCs w:val="false"/>
          <w:color w:val="1A56A0"/>
          <w:sz w:val="20"/>
          <w:szCs w:val="20"/>
        </w:rPr>
        <w:t xml:space="preserve">CR Rao AIMSCS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November 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processing latency for high-throughput analytical workflows by engineering C++-accelerated Python wrappers, enabling scalable, production-ready ML deployments on enterprise-grade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Enabled non-technical stakeholders to access complex ML and statistical outputs by architecting asynchronous FastAPI microservices, reducing time-to-insight for cross-functional analytics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deployment risk for production models by building fault-tolerant CI/CD pipelines with automated testing frameworks, ensuring continuous delivery and model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Maximized neural network inference throughput on GPU-accelerated compute clusters by engineering CUDA and MPI multi-GPU parallelization strategies, optimizing model execution across heterogeneous hardware accelerators.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Machine Learning Research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b w:val="false"/>
          <w:bCs w:val="false"/>
          <w:color w:val="1A56A0"/>
          <w:sz w:val="20"/>
          <w:szCs w:val="20"/>
        </w:rPr>
        <w:t xml:space="preserve">CR Rao AIMSCS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October 2024 – October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99.18% accuracy on a sequential pattern recognition task by engineering and rigorously tuning a hybrid CNN-BiLSTM deep learning architecture, validated across stratified train-test splits with full reproducibility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Accelerated experiment reproducibility and downstream model reliability by architecting end-to-end SQL and Pandas ETL pipelines to extract, clean, preprocess, and structure large-scale unstructured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Resolved critical class imbalances in the training corpus by programmatically synthesizing 200,000+ validated data samples using generative algorithms, improving model generalization and evaluation integrity.</w:t>
      </w:r>
    </w:p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APPLIED RESEARCH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Hybrid Classification &amp; Predictive Modeling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Benchmarked sequential pattern classification by architecting a unified framework combining ResNet and hybrid CNN-Transformer architectures — demonstrating hands-on proficiency with self-attention mechanisms and deep neural network design on dynamically generated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Established rigorous empirical performance baselines by applying advanced feature engineering, statistical evaluation, and hyperparameter optimization — quantifying model trade-offs across accuracy, precision, and recall.</w:t>
      </w:r>
    </w:p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Production-Grade Data Pipeline &amp; Analytics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ingestion and structuring of metadata for 1,000+ complex documents by architecting an end-to-end data lake using Apache Airflow orchestration and PostgreSQL, eliminating manual processing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Deployed a reproducible, AWS-compatible analytics architecture by containerizing all pipeline components and microservices with Docker Compose, enabling seamless cloud scaling.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Predictive Categorization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92% multi-class classification accuracy on complex tabular datasets by engineering a Scikit-learn predictive model with deep feature importance analysis and grid search hyperparameter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highly interpretable model outputs by balancing precision and recall through systematic threshold tuning — making results actionable for downstream analytics stakeholders.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Real-Time Edge AI &amp; Model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real-time neural network inference on resource-constrained edge devices — without cloud dependency — by engineering a quantization-compressed PyTorch pipeline optimized for on-device deployment, reducing model size while preserving predictive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model inference latency and memory footprint for edge deployment by applying floating-point to fixed-point quantization and weight compression techniques, enabling production-feasible on-device AI without GPU infrastructure.</w:t>
      </w:r>
    </w:p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B.E. in Artificial Intelligence &amp; Machine Learning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2025</w:t>
      </w:r>
    </w:p>
    <w:p>
      <w:pPr>
        <w:spacing w:after="40" w:before="0"/>
      </w:pPr>
      <w:r>
        <w:rPr>
          <w:rFonts w:ascii="Calibri" w:cs="Calibri" w:eastAsia="Calibri" w:hAnsi="Calibri"/>
          <w:color w:val="1A56A0"/>
          <w:sz w:val="19"/>
          <w:szCs w:val="19"/>
        </w:rPr>
        <w:t xml:space="preserve">University College of Engineering, Osmania University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•   CGPA: 7.8 / 10.0</w:t>
      </w:r>
    </w:p>
    <w:p>
      <w:pPr>
        <w:pBdr>
          <w:bottom w:val="single" w:color="1A56A0" w:sz="8" w:space="1"/>
        </w:pBdr>
        <w:spacing w:after="20" w:before="160"/>
      </w:pPr>
      <w:r>
        <w:rPr>
          <w:rFonts w:ascii="Calibri" w:cs="Calibri" w:eastAsia="Calibri" w:hAnsi="Calibri"/>
          <w:b/>
          <w:bCs/>
          <w:color w:val="2C3E50"/>
          <w:spacing w:val="40"/>
          <w:sz w:val="22"/>
          <w:szCs w:val="22"/>
        </w:rPr>
        <w:t xml:space="preserve">CERTIFICATIONS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Google Data Analytics Professional Certificate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(Coursera)  —  Database Management, Data Cleaning &amp; Visualization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2026-06-15T06:11:03.535Z</dcterms:created>
  <dcterms:modified xsi:type="dcterms:W3CDTF">2026-06-15T06:11:03.553Z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