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Service Blueprint, SLOs &amp; Cloud Cost Envelope</w:t>
      </w:r>
    </w:p>
    <w:p>
      <w:r>
        <w:rPr>
          <w:b/>
        </w:rPr>
        <w:t>Operational contract for a small two-tier web service</w:t>
      </w:r>
    </w:p>
    <w:p>
      <w:r>
        <w:t>Purpose: define the service's request, dependency, deployment, data and failure paths before infrastructure automation; then set measurable SLOs, paging rules, recovery objectives and a three-scenario monthly cost envelope.</w:t>
      </w:r>
    </w:p>
    <w:p>
      <w:pPr>
        <w:pStyle w:val="Heading1"/>
      </w:pPr>
      <w:r>
        <w:t>1. Service Blueprint</w:t>
      </w:r>
    </w:p>
    <w:p>
      <w:r>
        <w:t>Service boundary: public client → web/API application tier → managed data tier. Observability, secrets and deployment automation are cross-cutting controls.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Path</w:t>
            </w:r>
          </w:p>
        </w:tc>
        <w:tc>
          <w:tcPr>
            <w:tcW w:type="dxa" w:w="3456"/>
          </w:tcPr>
          <w:p>
            <w:r>
              <w:rPr>
                <w:b/>
              </w:rPr>
              <w:t>Flow</w:t>
            </w:r>
          </w:p>
        </w:tc>
        <w:tc>
          <w:tcPr>
            <w:tcW w:type="dxa" w:w="3456"/>
          </w:tcPr>
          <w:p>
            <w:r>
              <w:rPr>
                <w:b/>
              </w:rPr>
              <w:t>Key controls / evidence</w:t>
            </w:r>
          </w:p>
        </w:tc>
      </w:tr>
      <w:tr>
        <w:tc>
          <w:tcPr>
            <w:tcW w:type="dxa" w:w="3456"/>
            <w:vAlign w:val="top"/>
          </w:tcPr>
          <w:p>
            <w:r>
              <w:t>Request</w:t>
            </w:r>
          </w:p>
        </w:tc>
        <w:tc>
          <w:tcPr>
            <w:tcW w:type="dxa" w:w="3456"/>
            <w:vAlign w:val="top"/>
          </w:tcPr>
          <w:p>
            <w:r>
              <w:t>Client → DNS/edge → application tier → data tier → response</w:t>
            </w:r>
          </w:p>
        </w:tc>
        <w:tc>
          <w:tcPr>
            <w:tcW w:type="dxa" w:w="3456"/>
            <w:vAlign w:val="top"/>
          </w:tcPr>
          <w:p>
            <w:r>
              <w:t>TLS, request IDs, authentication/authorization, structured logs, p95 latency and 5xx metrics</w:t>
            </w:r>
          </w:p>
        </w:tc>
      </w:tr>
      <w:tr>
        <w:tc>
          <w:tcPr>
            <w:tcW w:type="dxa" w:w="3456"/>
            <w:vAlign w:val="top"/>
          </w:tcPr>
          <w:p>
            <w:r>
              <w:t>Dependency</w:t>
            </w:r>
          </w:p>
        </w:tc>
        <w:tc>
          <w:tcPr>
            <w:tcW w:type="dxa" w:w="3456"/>
            <w:vAlign w:val="top"/>
          </w:tcPr>
          <w:p>
            <w:r>
              <w:t>Application → database / external dependency → application</w:t>
            </w:r>
          </w:p>
        </w:tc>
        <w:tc>
          <w:tcPr>
            <w:tcW w:type="dxa" w:w="3456"/>
            <w:vAlign w:val="top"/>
          </w:tcPr>
          <w:p>
            <w:r>
              <w:t>Timeouts, bounded retries, circuit breaking where appropriate, dependency health metrics</w:t>
            </w:r>
          </w:p>
        </w:tc>
      </w:tr>
      <w:tr>
        <w:tc>
          <w:tcPr>
            <w:tcW w:type="dxa" w:w="3456"/>
            <w:vAlign w:val="top"/>
          </w:tcPr>
          <w:p>
            <w:r>
              <w:t>Deployment</w:t>
            </w:r>
          </w:p>
        </w:tc>
        <w:tc>
          <w:tcPr>
            <w:tcW w:type="dxa" w:w="3456"/>
            <w:vAlign w:val="top"/>
          </w:tcPr>
          <w:p>
            <w:r>
              <w:t>Source → CI checks → artifact → staging → production → health verification</w:t>
            </w:r>
          </w:p>
        </w:tc>
        <w:tc>
          <w:tcPr>
            <w:tcW w:type="dxa" w:w="3456"/>
            <w:vAlign w:val="top"/>
          </w:tcPr>
          <w:p>
            <w:r>
              <w:t>Immutable artifact, automated tests, migration gate, rollback plan, post-deploy smoke test</w:t>
            </w:r>
          </w:p>
        </w:tc>
      </w:tr>
      <w:tr>
        <w:tc>
          <w:tcPr>
            <w:tcW w:type="dxa" w:w="3456"/>
            <w:vAlign w:val="top"/>
          </w:tcPr>
          <w:p>
            <w:r>
              <w:t>Data</w:t>
            </w:r>
          </w:p>
        </w:tc>
        <w:tc>
          <w:tcPr>
            <w:tcW w:type="dxa" w:w="3456"/>
            <w:vAlign w:val="top"/>
          </w:tcPr>
          <w:p>
            <w:r>
              <w:t>API → transaction → managed DB → backup/restore path</w:t>
            </w:r>
          </w:p>
        </w:tc>
        <w:tc>
          <w:tcPr>
            <w:tcW w:type="dxa" w:w="3456"/>
            <w:vAlign w:val="top"/>
          </w:tcPr>
          <w:p>
            <w:r>
              <w:t>Encryption in transit/at rest, least-privilege DB account, backups, retention, restore test</w:t>
            </w:r>
          </w:p>
        </w:tc>
      </w:tr>
      <w:tr>
        <w:tc>
          <w:tcPr>
            <w:tcW w:type="dxa" w:w="3456"/>
            <w:vAlign w:val="top"/>
          </w:tcPr>
          <w:p>
            <w:r>
              <w:t>Failure</w:t>
            </w:r>
          </w:p>
        </w:tc>
        <w:tc>
          <w:tcPr>
            <w:tcW w:type="dxa" w:w="3456"/>
            <w:vAlign w:val="top"/>
          </w:tcPr>
          <w:p>
            <w:r>
              <w:t>Client impact → alert → triage → mitigation → recovery → review</w:t>
            </w:r>
          </w:p>
        </w:tc>
        <w:tc>
          <w:tcPr>
            <w:tcW w:type="dxa" w:w="3456"/>
            <w:vAlign w:val="top"/>
          </w:tcPr>
          <w:p>
            <w:r>
              <w:t>Paging contract, runbook, RTO/RPO evidence, incident timeline and post-incident actions</w:t>
            </w:r>
          </w:p>
        </w:tc>
      </w:tr>
    </w:tbl>
    <w:p>
      <w:pPr>
        <w:pStyle w:val="Heading1"/>
      </w:pPr>
      <w:r>
        <w:t>2. Logical Architecture &amp; Failure Paths</w:t>
      </w:r>
    </w:p>
    <w:p>
      <w:r>
        <w:t>Normal path:</w:t>
      </w:r>
    </w:p>
    <w:p>
      <w:r>
        <w:t>1) Client sends HTTPS request.  2) Edge/DNS routes to application tier.  3) Application authenticates and validates input.  4) Application reads/writes the managed database.  5) Response returns with correlation ID and latency telemetry.</w:t>
      </w:r>
    </w:p>
    <w:p>
      <w:r>
        <w:t>Primary failure paths:</w:t>
      </w:r>
    </w:p>
    <w:p>
      <w:pPr>
        <w:pStyle w:val="ListBullet"/>
      </w:pPr>
      <w:r>
        <w:t>Application instance failure → load balancer/autoscaling replaces capacity; no single instance should be required for recovery.</w:t>
      </w:r>
    </w:p>
    <w:p>
      <w:pPr>
        <w:pStyle w:val="ListBullet"/>
      </w:pPr>
      <w:r>
        <w:t>Database transient failure → bounded timeout/retry; fail fast when retry budget is exhausted; alert on sustained errors.</w:t>
      </w:r>
    </w:p>
    <w:p>
      <w:pPr>
        <w:pStyle w:val="ListBullet"/>
      </w:pPr>
      <w:r>
        <w:t>Bad deployment → health check/smoke-test failure triggers rollback to last known-good artifact.</w:t>
      </w:r>
    </w:p>
    <w:p>
      <w:pPr>
        <w:pStyle w:val="ListBullet"/>
      </w:pPr>
      <w:r>
        <w:t>Data corruption/accidental deletion → restore from tested backup; recovery target is governed by scenario RPO/RTO.</w:t>
      </w:r>
    </w:p>
    <w:p>
      <w:pPr>
        <w:pStyle w:val="ListBullet"/>
      </w:pPr>
      <w:r>
        <w:t>Regional outage → Lean accepts slower recovery; Balanced uses tested backups and managed recovery; Resilient adds multi-zone service design and stronger continuity testing.</w:t>
      </w:r>
    </w:p>
    <w:p>
      <w:pPr>
        <w:pStyle w:val="Heading1"/>
      </w:pPr>
      <w:r>
        <w:t>3. SLO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Availability SLO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Monthly error budget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Latency SLO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RPO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RTO</w:t>
            </w:r>
          </w:p>
        </w:tc>
      </w:tr>
      <w:tr>
        <w:tc>
          <w:tcPr>
            <w:tcW w:type="dxa" w:w="1728"/>
            <w:vAlign w:val="top"/>
          </w:tcPr>
          <w:p>
            <w:r>
              <w:t>Lean</w:t>
            </w:r>
          </w:p>
        </w:tc>
        <w:tc>
          <w:tcPr>
            <w:tcW w:type="dxa" w:w="1728"/>
            <w:vAlign w:val="top"/>
          </w:tcPr>
          <w:p>
            <w:r>
              <w:t>99.0%</w:t>
            </w:r>
          </w:p>
        </w:tc>
        <w:tc>
          <w:tcPr>
            <w:tcW w:type="dxa" w:w="1728"/>
            <w:vAlign w:val="top"/>
          </w:tcPr>
          <w:p>
            <w:r>
              <w:t>432.0 min / 30d</w:t>
            </w:r>
          </w:p>
        </w:tc>
        <w:tc>
          <w:tcPr>
            <w:tcW w:type="dxa" w:w="1728"/>
            <w:vAlign w:val="top"/>
          </w:tcPr>
          <w:p>
            <w:r>
              <w:t>p95 ≤ 800 ms</w:t>
            </w:r>
          </w:p>
        </w:tc>
        <w:tc>
          <w:tcPr>
            <w:tcW w:type="dxa" w:w="1728"/>
            <w:vAlign w:val="top"/>
          </w:tcPr>
          <w:p>
            <w:r>
              <w:t>1440 min</w:t>
            </w:r>
          </w:p>
        </w:tc>
        <w:tc>
          <w:tcPr>
            <w:tcW w:type="dxa" w:w="1728"/>
            <w:vAlign w:val="top"/>
          </w:tcPr>
          <w:p>
            <w:r>
              <w:t>240 min</w:t>
            </w:r>
          </w:p>
        </w:tc>
      </w:tr>
      <w:tr>
        <w:tc>
          <w:tcPr>
            <w:tcW w:type="dxa" w:w="1728"/>
            <w:vAlign w:val="top"/>
          </w:tcPr>
          <w:p>
            <w:r>
              <w:t>Balanced</w:t>
            </w:r>
          </w:p>
        </w:tc>
        <w:tc>
          <w:tcPr>
            <w:tcW w:type="dxa" w:w="1728"/>
            <w:vAlign w:val="top"/>
          </w:tcPr>
          <w:p>
            <w:r>
              <w:t>99.5%</w:t>
            </w:r>
          </w:p>
        </w:tc>
        <w:tc>
          <w:tcPr>
            <w:tcW w:type="dxa" w:w="1728"/>
            <w:vAlign w:val="top"/>
          </w:tcPr>
          <w:p>
            <w:r>
              <w:t>216.0 min / 30d</w:t>
            </w:r>
          </w:p>
        </w:tc>
        <w:tc>
          <w:tcPr>
            <w:tcW w:type="dxa" w:w="1728"/>
            <w:vAlign w:val="top"/>
          </w:tcPr>
          <w:p>
            <w:r>
              <w:t>p95 ≤ 500 ms</w:t>
            </w:r>
          </w:p>
        </w:tc>
        <w:tc>
          <w:tcPr>
            <w:tcW w:type="dxa" w:w="1728"/>
            <w:vAlign w:val="top"/>
          </w:tcPr>
          <w:p>
            <w:r>
              <w:t>60 min</w:t>
            </w:r>
          </w:p>
        </w:tc>
        <w:tc>
          <w:tcPr>
            <w:tcW w:type="dxa" w:w="1728"/>
            <w:vAlign w:val="top"/>
          </w:tcPr>
          <w:p>
            <w:r>
              <w:t>60 min</w:t>
            </w:r>
          </w:p>
        </w:tc>
      </w:tr>
      <w:tr>
        <w:tc>
          <w:tcPr>
            <w:tcW w:type="dxa" w:w="1728"/>
            <w:vAlign w:val="top"/>
          </w:tcPr>
          <w:p>
            <w:r>
              <w:t>Resilient</w:t>
            </w:r>
          </w:p>
        </w:tc>
        <w:tc>
          <w:tcPr>
            <w:tcW w:type="dxa" w:w="1728"/>
            <w:vAlign w:val="top"/>
          </w:tcPr>
          <w:p>
            <w:r>
              <w:t>99.9%</w:t>
            </w:r>
          </w:p>
        </w:tc>
        <w:tc>
          <w:tcPr>
            <w:tcW w:type="dxa" w:w="1728"/>
            <w:vAlign w:val="top"/>
          </w:tcPr>
          <w:p>
            <w:r>
              <w:t>43.2 min / 30d</w:t>
            </w:r>
          </w:p>
        </w:tc>
        <w:tc>
          <w:tcPr>
            <w:tcW w:type="dxa" w:w="1728"/>
            <w:vAlign w:val="top"/>
          </w:tcPr>
          <w:p>
            <w:r>
              <w:t>p95 ≤ 300 ms</w:t>
            </w:r>
          </w:p>
        </w:tc>
        <w:tc>
          <w:tcPr>
            <w:tcW w:type="dxa" w:w="1728"/>
            <w:vAlign w:val="top"/>
          </w:tcPr>
          <w:p>
            <w:r>
              <w:t>15 min</w:t>
            </w:r>
          </w:p>
        </w:tc>
        <w:tc>
          <w:tcPr>
            <w:tcW w:type="dxa" w:w="1728"/>
            <w:vAlign w:val="top"/>
          </w:tcPr>
          <w:p>
            <w:r>
              <w:t>30 min</w:t>
            </w:r>
          </w:p>
        </w:tc>
      </w:tr>
    </w:tbl>
    <w:p>
      <w:r>
        <w:t>Error-budget calculation uses a 30-day month (43,200 minutes): (1 − availability target) × 43,200. For production reporting, recalculate against the actual calendar month and the agreed SLI exclusion rules.</w:t>
      </w:r>
    </w:p>
    <w:p>
      <w:pPr>
        <w:pStyle w:val="Heading1"/>
      </w:pPr>
      <w:r>
        <w:t>4. Paging &amp; Alerting Thresholds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3456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Trigger</w:t>
            </w:r>
          </w:p>
        </w:tc>
      </w:tr>
      <w:tr>
        <w:tc>
          <w:tcPr>
            <w:tcW w:type="dxa" w:w="3456"/>
            <w:vAlign w:val="top"/>
          </w:tcPr>
          <w:p>
            <w:r>
              <w:t>Availability burn</w:t>
            </w:r>
          </w:p>
        </w:tc>
        <w:tc>
          <w:tcPr>
            <w:tcW w:type="dxa" w:w="3456"/>
            <w:vAlign w:val="top"/>
          </w:tcPr>
          <w:p>
            <w:r>
              <w:t>Page</w:t>
            </w:r>
          </w:p>
        </w:tc>
        <w:tc>
          <w:tcPr>
            <w:tcW w:type="dxa" w:w="3456"/>
            <w:vAlign w:val="top"/>
          </w:tcPr>
          <w:p>
            <w:r>
              <w:t>Use multi-window SLO burn-rate alerting; page when customer impact is sustained and materially consumes the error budget.</w:t>
            </w:r>
          </w:p>
        </w:tc>
      </w:tr>
      <w:tr>
        <w:tc>
          <w:tcPr>
            <w:tcW w:type="dxa" w:w="3456"/>
            <w:vAlign w:val="top"/>
          </w:tcPr>
          <w:p>
            <w:r>
              <w:t>p95 latency</w:t>
            </w:r>
          </w:p>
        </w:tc>
        <w:tc>
          <w:tcPr>
            <w:tcW w:type="dxa" w:w="3456"/>
            <w:vAlign w:val="top"/>
          </w:tcPr>
          <w:p>
            <w:r>
              <w:t>Page</w:t>
            </w:r>
          </w:p>
        </w:tc>
        <w:tc>
          <w:tcPr>
            <w:tcW w:type="dxa" w:w="3456"/>
            <w:vAlign w:val="top"/>
          </w:tcPr>
          <w:p>
            <w:r>
              <w:t>p95 above the scenario SLO for 10 min AND above 2× SLO for 5 min.</w:t>
            </w:r>
          </w:p>
        </w:tc>
      </w:tr>
      <w:tr>
        <w:tc>
          <w:tcPr>
            <w:tcW w:type="dxa" w:w="3456"/>
            <w:vAlign w:val="top"/>
          </w:tcPr>
          <w:p>
            <w:r>
              <w:t>5xx rate</w:t>
            </w:r>
          </w:p>
        </w:tc>
        <w:tc>
          <w:tcPr>
            <w:tcW w:type="dxa" w:w="3456"/>
            <w:vAlign w:val="top"/>
          </w:tcPr>
          <w:p>
            <w:r>
              <w:t>Page</w:t>
            </w:r>
          </w:p>
        </w:tc>
        <w:tc>
          <w:tcPr>
            <w:tcW w:type="dxa" w:w="3456"/>
            <w:vAlign w:val="top"/>
          </w:tcPr>
          <w:p>
            <w:r>
              <w:t>&gt;2% for 5 min or &gt;5% for 2 min on customer traffic.</w:t>
            </w:r>
          </w:p>
        </w:tc>
      </w:tr>
      <w:tr>
        <w:tc>
          <w:tcPr>
            <w:tcW w:type="dxa" w:w="3456"/>
            <w:vAlign w:val="top"/>
          </w:tcPr>
          <w:p>
            <w:r>
              <w:t>Dependency errors/timeouts</w:t>
            </w:r>
          </w:p>
        </w:tc>
        <w:tc>
          <w:tcPr>
            <w:tcW w:type="dxa" w:w="3456"/>
            <w:vAlign w:val="top"/>
          </w:tcPr>
          <w:p>
            <w:r>
              <w:t>Page</w:t>
            </w:r>
          </w:p>
        </w:tc>
        <w:tc>
          <w:tcPr>
            <w:tcW w:type="dxa" w:w="3456"/>
            <w:vAlign w:val="top"/>
          </w:tcPr>
          <w:p>
            <w:r>
              <w:t>&gt;5% for 5 min on a material dependency.</w:t>
            </w:r>
          </w:p>
        </w:tc>
      </w:tr>
      <w:tr>
        <w:tc>
          <w:tcPr>
            <w:tcW w:type="dxa" w:w="3456"/>
            <w:vAlign w:val="top"/>
          </w:tcPr>
          <w:p>
            <w:r>
              <w:t>Database saturation</w:t>
            </w:r>
          </w:p>
        </w:tc>
        <w:tc>
          <w:tcPr>
            <w:tcW w:type="dxa" w:w="3456"/>
            <w:vAlign w:val="top"/>
          </w:tcPr>
          <w:p>
            <w:r>
              <w:t>Warning/ticket</w:t>
            </w:r>
          </w:p>
        </w:tc>
        <w:tc>
          <w:tcPr>
            <w:tcW w:type="dxa" w:w="3456"/>
            <w:vAlign w:val="top"/>
          </w:tcPr>
          <w:p>
            <w:r>
              <w:t>CPU, connections or I/O sustained &gt;80% for 15 min.</w:t>
            </w:r>
          </w:p>
        </w:tc>
      </w:tr>
      <w:tr>
        <w:tc>
          <w:tcPr>
            <w:tcW w:type="dxa" w:w="3456"/>
            <w:vAlign w:val="top"/>
          </w:tcPr>
          <w:p>
            <w:r>
              <w:t>Backups</w:t>
            </w:r>
          </w:p>
        </w:tc>
        <w:tc>
          <w:tcPr>
            <w:tcW w:type="dxa" w:w="3456"/>
            <w:vAlign w:val="top"/>
          </w:tcPr>
          <w:p>
            <w:r>
              <w:t>Warning/page</w:t>
            </w:r>
          </w:p>
        </w:tc>
        <w:tc>
          <w:tcPr>
            <w:tcW w:type="dxa" w:w="3456"/>
            <w:vAlign w:val="top"/>
          </w:tcPr>
          <w:p>
            <w:r>
              <w:t>Any missed backup; page immediately if the miss threatens the scenario RPO.</w:t>
            </w:r>
          </w:p>
        </w:tc>
      </w:tr>
      <w:tr>
        <w:tc>
          <w:tcPr>
            <w:tcW w:type="dxa" w:w="3456"/>
            <w:vAlign w:val="top"/>
          </w:tcPr>
          <w:p>
            <w:r>
              <w:t>Security/secret anomaly</w:t>
            </w:r>
          </w:p>
        </w:tc>
        <w:tc>
          <w:tcPr>
            <w:tcW w:type="dxa" w:w="3456"/>
            <w:vAlign w:val="top"/>
          </w:tcPr>
          <w:p>
            <w:r>
              <w:t>Page</w:t>
            </w:r>
          </w:p>
        </w:tc>
        <w:tc>
          <w:tcPr>
            <w:tcW w:type="dxa" w:w="3456"/>
            <w:vAlign w:val="top"/>
          </w:tcPr>
          <w:p>
            <w:r>
              <w:t>Unauthorized access, secret exposure or privilege anomaly.</w:t>
            </w:r>
          </w:p>
        </w:tc>
      </w:tr>
    </w:tbl>
    <w:p>
      <w:pPr>
        <w:pStyle w:val="Heading1"/>
      </w:pPr>
      <w:r>
        <w:t>5. Three-Scenario Cloud Cost Envelope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296"/>
          </w:tcPr>
          <w:p>
            <w:r>
              <w:rPr>
                <w:b/>
              </w:rPr>
              <w:t>Budget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Compute</w:t>
            </w:r>
          </w:p>
        </w:tc>
        <w:tc>
          <w:tcPr>
            <w:tcW w:type="dxa" w:w="1296"/>
          </w:tcPr>
          <w:p>
            <w:r>
              <w:rPr>
                <w:b/>
              </w:rPr>
              <w:t>DB/Storage</w:t>
            </w:r>
          </w:p>
        </w:tc>
        <w:tc>
          <w:tcPr>
            <w:tcW w:type="dxa" w:w="1296"/>
          </w:tcPr>
          <w:p>
            <w:r>
              <w:rPr>
                <w:b/>
              </w:rPr>
              <w:t>Transfer</w:t>
            </w:r>
          </w:p>
        </w:tc>
        <w:tc>
          <w:tcPr>
            <w:tcW w:type="dxa" w:w="1296"/>
          </w:tcPr>
          <w:p>
            <w:r>
              <w:rPr>
                <w:b/>
              </w:rPr>
              <w:t>Logging</w:t>
            </w:r>
          </w:p>
        </w:tc>
        <w:tc>
          <w:tcPr>
            <w:tcW w:type="dxa" w:w="1296"/>
          </w:tcPr>
          <w:p>
            <w:r>
              <w:rPr>
                <w:b/>
              </w:rPr>
              <w:t>Backup/DR</w:t>
            </w:r>
          </w:p>
        </w:tc>
        <w:tc>
          <w:tcPr>
            <w:tcW w:type="dxa" w:w="1296"/>
          </w:tcPr>
          <w:p>
            <w:r>
              <w:rPr>
                <w:b/>
              </w:rPr>
              <w:t>Support/Ops</w:t>
            </w:r>
          </w:p>
        </w:tc>
      </w:tr>
      <w:tr>
        <w:tc>
          <w:tcPr>
            <w:tcW w:type="dxa" w:w="1296"/>
            <w:vAlign w:val="top"/>
          </w:tcPr>
          <w:p>
            <w:r>
              <w:t>Lean</w:t>
            </w:r>
          </w:p>
        </w:tc>
        <w:tc>
          <w:tcPr>
            <w:tcW w:type="dxa" w:w="1296"/>
            <w:vAlign w:val="top"/>
          </w:tcPr>
          <w:p>
            <w:r>
              <w:t>₹2,500</w:t>
            </w:r>
          </w:p>
        </w:tc>
        <w:tc>
          <w:tcPr>
            <w:tcW w:type="dxa" w:w="1296"/>
            <w:vAlign w:val="top"/>
          </w:tcPr>
          <w:p>
            <w:r>
              <w:t>₹900</w:t>
            </w:r>
          </w:p>
        </w:tc>
        <w:tc>
          <w:tcPr>
            <w:tcW w:type="dxa" w:w="1296"/>
            <w:vAlign w:val="top"/>
          </w:tcPr>
          <w:p>
            <w:r>
              <w:t>₹450</w:t>
            </w:r>
          </w:p>
        </w:tc>
        <w:tc>
          <w:tcPr>
            <w:tcW w:type="dxa" w:w="1296"/>
            <w:vAlign w:val="top"/>
          </w:tcPr>
          <w:p>
            <w:r>
              <w:t>₹300</w:t>
            </w:r>
          </w:p>
        </w:tc>
        <w:tc>
          <w:tcPr>
            <w:tcW w:type="dxa" w:w="1296"/>
            <w:vAlign w:val="top"/>
          </w:tcPr>
          <w:p>
            <w:r>
              <w:t>₹150</w:t>
            </w:r>
          </w:p>
        </w:tc>
        <w:tc>
          <w:tcPr>
            <w:tcW w:type="dxa" w:w="1296"/>
            <w:vAlign w:val="top"/>
          </w:tcPr>
          <w:p>
            <w:r>
              <w:t>₹200</w:t>
            </w:r>
          </w:p>
        </w:tc>
        <w:tc>
          <w:tcPr>
            <w:tcW w:type="dxa" w:w="1296"/>
            <w:vAlign w:val="top"/>
          </w:tcPr>
          <w:p>
            <w:r>
              <w:t>₹500</w:t>
            </w:r>
          </w:p>
        </w:tc>
      </w:tr>
      <w:tr>
        <w:tc>
          <w:tcPr>
            <w:tcW w:type="dxa" w:w="1296"/>
            <w:vAlign w:val="top"/>
          </w:tcPr>
          <w:p>
            <w:r>
              <w:t>Balanced</w:t>
            </w:r>
          </w:p>
        </w:tc>
        <w:tc>
          <w:tcPr>
            <w:tcW w:type="dxa" w:w="1296"/>
            <w:vAlign w:val="top"/>
          </w:tcPr>
          <w:p>
            <w:r>
              <w:t>₹8,000</w:t>
            </w:r>
          </w:p>
        </w:tc>
        <w:tc>
          <w:tcPr>
            <w:tcW w:type="dxa" w:w="1296"/>
            <w:vAlign w:val="top"/>
          </w:tcPr>
          <w:p>
            <w:r>
              <w:t>₹2,500</w:t>
            </w:r>
          </w:p>
        </w:tc>
        <w:tc>
          <w:tcPr>
            <w:tcW w:type="dxa" w:w="1296"/>
            <w:vAlign w:val="top"/>
          </w:tcPr>
          <w:p>
            <w:r>
              <w:t>₹1,800</w:t>
            </w:r>
          </w:p>
        </w:tc>
        <w:tc>
          <w:tcPr>
            <w:tcW w:type="dxa" w:w="1296"/>
            <w:vAlign w:val="top"/>
          </w:tcPr>
          <w:p>
            <w:r>
              <w:t>₹1,000</w:t>
            </w:r>
          </w:p>
        </w:tc>
        <w:tc>
          <w:tcPr>
            <w:tcW w:type="dxa" w:w="1296"/>
            <w:vAlign w:val="top"/>
          </w:tcPr>
          <w:p>
            <w:r>
              <w:t>₹500</w:t>
            </w:r>
          </w:p>
        </w:tc>
        <w:tc>
          <w:tcPr>
            <w:tcW w:type="dxa" w:w="1296"/>
            <w:vAlign w:val="top"/>
          </w:tcPr>
          <w:p>
            <w:r>
              <w:t>₹700</w:t>
            </w:r>
          </w:p>
        </w:tc>
        <w:tc>
          <w:tcPr>
            <w:tcW w:type="dxa" w:w="1296"/>
            <w:vAlign w:val="top"/>
          </w:tcPr>
          <w:p>
            <w:r>
              <w:t>₹1,500</w:t>
            </w:r>
          </w:p>
        </w:tc>
      </w:tr>
      <w:tr>
        <w:tc>
          <w:tcPr>
            <w:tcW w:type="dxa" w:w="1296"/>
            <w:vAlign w:val="top"/>
          </w:tcPr>
          <w:p>
            <w:r>
              <w:t>Resilient</w:t>
            </w:r>
          </w:p>
        </w:tc>
        <w:tc>
          <w:tcPr>
            <w:tcW w:type="dxa" w:w="1296"/>
            <w:vAlign w:val="top"/>
          </w:tcPr>
          <w:p>
            <w:r>
              <w:t>₹25,000</w:t>
            </w:r>
          </w:p>
        </w:tc>
        <w:tc>
          <w:tcPr>
            <w:tcW w:type="dxa" w:w="1296"/>
            <w:vAlign w:val="top"/>
          </w:tcPr>
          <w:p>
            <w:r>
              <w:t>₹8,000</w:t>
            </w:r>
          </w:p>
        </w:tc>
        <w:tc>
          <w:tcPr>
            <w:tcW w:type="dxa" w:w="1296"/>
            <w:vAlign w:val="top"/>
          </w:tcPr>
          <w:p>
            <w:r>
              <w:t>₹6,000</w:t>
            </w:r>
          </w:p>
        </w:tc>
        <w:tc>
          <w:tcPr>
            <w:tcW w:type="dxa" w:w="1296"/>
            <w:vAlign w:val="top"/>
          </w:tcPr>
          <w:p>
            <w:r>
              <w:t>₹3,500</w:t>
            </w:r>
          </w:p>
        </w:tc>
        <w:tc>
          <w:tcPr>
            <w:tcW w:type="dxa" w:w="1296"/>
            <w:vAlign w:val="top"/>
          </w:tcPr>
          <w:p>
            <w:r>
              <w:t>₹1,500</w:t>
            </w:r>
          </w:p>
        </w:tc>
        <w:tc>
          <w:tcPr>
            <w:tcW w:type="dxa" w:w="1296"/>
            <w:vAlign w:val="top"/>
          </w:tcPr>
          <w:p>
            <w:r>
              <w:t>₹2,000</w:t>
            </w:r>
          </w:p>
        </w:tc>
        <w:tc>
          <w:tcPr>
            <w:tcW w:type="dxa" w:w="1296"/>
            <w:vAlign w:val="top"/>
          </w:tcPr>
          <w:p>
            <w:r>
              <w:t>₹4,000</w:t>
            </w:r>
          </w:p>
        </w:tc>
      </w:tr>
    </w:tbl>
    <w:p>
      <w:r>
        <w:t>Cost model note: allocations are planning envelopes derived from the supplied scenario budgets, not cloud-provider quotes. Before implementation, replace them with provider-specific SKU/region estimates and actual traffic, storage, log-retention and backup assumptions.</w:t>
      </w:r>
    </w:p>
    <w:p>
      <w:pPr>
        <w:pStyle w:val="Heading1"/>
      </w:pPr>
      <w:r>
        <w:t>6. Architecture Decision Records</w:t>
      </w:r>
    </w:p>
    <w:p>
      <w:pPr>
        <w:pStyle w:val="Heading2"/>
      </w:pPr>
      <w:r>
        <w:t>ADR-001 — Region Strategy</w:t>
      </w:r>
    </w:p>
    <w:p>
      <w:r>
        <w:t>Decision: start in one primary region for Lean/Balanced; use multi-zone service components for Resilient. Select a region based on user latency, managed-service availability, data residency and pricing.</w:t>
      </w:r>
    </w:p>
    <w:p>
      <w:r>
        <w:t>Rationale: regional simplicity lowers operational overhead, while multi-zone design improves continuity without immediately requiring active-active multi-region complexity.</w:t>
      </w:r>
    </w:p>
    <w:p>
      <w:r>
        <w:t>Trade-off: fewer regions reduce cost and operational complexity but increase regional-outage recovery time.</w:t>
      </w:r>
    </w:p>
    <w:p>
      <w:pPr>
        <w:pStyle w:val="Heading2"/>
      </w:pPr>
      <w:r>
        <w:t>ADR-002 — Recovery Objectives</w:t>
      </w:r>
    </w:p>
    <w:p>
      <w:r>
        <w:t>Decision: adopt scenario-specific RPO/RTO targets: Lean 24h/4h, Balanced 60m/60m, Resilient 15m/30m.</w:t>
      </w:r>
    </w:p>
    <w:p>
      <w:r>
        <w:t>Rationale: recovery engineering should scale with business impact. Backups and restore procedures must be tested against the target, not merely configured.</w:t>
      </w:r>
    </w:p>
    <w:p>
      <w:r>
        <w:t>Trade-off: tighter recovery requires more backup frequency, redundancy, testing and operational spend.</w:t>
      </w:r>
    </w:p>
    <w:p>
      <w:pPr>
        <w:pStyle w:val="Heading2"/>
      </w:pPr>
      <w:r>
        <w:t>ADR-003 — Secrets Management</w:t>
      </w:r>
    </w:p>
    <w:p>
      <w:r>
        <w:t>Decision: store application secrets in a managed secret store; inject at runtime; never commit secrets to source control or bake them into images.</w:t>
      </w:r>
    </w:p>
    <w:p>
      <w:r>
        <w:t>Controls: separate secrets by environment, rotate on a defined cadence, audit access, and grant only the application identity the permissions required for specific secret versions.</w:t>
      </w:r>
    </w:p>
    <w:p>
      <w:pPr>
        <w:pStyle w:val="Heading2"/>
      </w:pPr>
      <w:r>
        <w:t>ADR-004 — Least-Privilege Access</w:t>
      </w:r>
    </w:p>
    <w:p>
      <w:r>
        <w:t>Decision: use separate identities for deployment, application runtime and human operations. Default-deny permissions; grant only required API/data actions.</w:t>
      </w:r>
    </w:p>
    <w:p>
      <w:r>
        <w:t>Controls: short-lived credentials where supported, MFA for human access, audited role changes, no shared administrator credentials, and separate production access from development access.</w:t>
      </w:r>
    </w:p>
    <w:p>
      <w:pPr>
        <w:pStyle w:val="Heading1"/>
      </w:pPr>
      <w:r>
        <w:t>7. Scenario Recommendation</w:t>
      </w:r>
    </w:p>
    <w:p>
      <w:r>
        <w:t>Recommended baseline: Balanced. It provides a 99.5% availability target, p95 latency target of 500 ms, 60-minute RPO/RTO and a ₹8,000/month planning envelope. Lean is appropriate for low-risk/prototype workloads; Resilient is justified when continuity requirements or business impact warrant the additional ₹25,000/month envelope.</w:t>
      </w:r>
    </w:p>
    <w:p>
      <w:pPr>
        <w:pStyle w:val="Heading1"/>
      </w:pPr>
      <w:r>
        <w:t>8. Definition of Done / Submission Checklist</w:t>
      </w:r>
    </w:p>
    <w:p>
      <w:pPr>
        <w:pStyle w:val="ListBullet"/>
      </w:pPr>
      <w:r>
        <w:t>Service blueprint documents request, dependency, deployment, data and failure paths.</w:t>
      </w:r>
    </w:p>
    <w:p>
      <w:pPr>
        <w:pStyle w:val="ListBullet"/>
      </w:pPr>
      <w:r>
        <w:t>SLO workbook contains availability, latency, error budget, RPO/RTO and paging thresholds.</w:t>
      </w:r>
    </w:p>
    <w:p>
      <w:pPr>
        <w:pStyle w:val="ListBullet"/>
      </w:pPr>
      <w:r>
        <w:t>Cost workbook contains Lean, Balanced and Resilient monthly envelopes.</w:t>
      </w:r>
    </w:p>
    <w:p>
      <w:pPr>
        <w:pStyle w:val="ListBullet"/>
      </w:pPr>
      <w:r>
        <w:t>ADRs cover region, recovery objectives, secrets and least-privilege access.</w:t>
      </w:r>
    </w:p>
    <w:p>
      <w:pPr>
        <w:pStyle w:val="ListBullet"/>
      </w:pPr>
      <w:r>
        <w:t>Cost assumptions are validated against the selected cloud provider before implementation.</w:t>
      </w:r>
    </w:p>
    <w:p>
      <w:pPr>
        <w:pStyle w:val="ListBullet"/>
      </w:pPr>
      <w:r>
        <w:t>Restore/rollback procedures are tested rather than only documented.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