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1" w:rightFromText="181" w:vertAnchor="text" w:horzAnchor="page" w:tblpX="8141" w:tblpY="1"/>
        <w:tblW w:w="3251"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57" w:type="dxa"/>
          <w:left w:w="57" w:type="dxa"/>
          <w:bottom w:w="57" w:type="dxa"/>
          <w:right w:w="57" w:type="dxa"/>
        </w:tblCellMar>
        <w:tblLook w:val="04A0" w:firstRow="1" w:lastRow="0" w:firstColumn="1" w:lastColumn="0" w:noHBand="0" w:noVBand="1"/>
      </w:tblPr>
      <w:tblGrid>
        <w:gridCol w:w="3251"/>
      </w:tblGrid>
      <w:tr w:rsidR="009D5FC6" w14:paraId="6C58271A" w14:textId="77777777" w:rsidTr="0011524E">
        <w:trPr>
          <w:trHeight w:val="12823"/>
        </w:trPr>
        <w:tc>
          <w:tcPr>
            <w:tcW w:w="3251" w:type="dxa"/>
          </w:tcPr>
          <w:p w14:paraId="5794769E" w14:textId="7C68160A" w:rsidR="009D5FC6" w:rsidRPr="00606EA3" w:rsidRDefault="009A385C" w:rsidP="00CD2F98">
            <w:pPr>
              <w:pStyle w:val="Caption"/>
              <w:rPr>
                <w:color w:val="FF0000"/>
                <w:sz w:val="16"/>
                <w:szCs w:val="16"/>
              </w:rPr>
            </w:pPr>
            <w:bookmarkStart w:id="0" w:name="BM_FistPageLeftTable" w:colFirst="0" w:colLast="0"/>
            <w:r w:rsidRPr="00606EA3">
              <w:rPr>
                <w:color w:val="FF0000"/>
                <w:sz w:val="16"/>
                <w:szCs w:val="16"/>
              </w:rPr>
              <w:t>hare</w:t>
            </w:r>
            <w:r w:rsidR="009D5FC6" w:rsidRPr="00606EA3">
              <w:rPr>
                <w:color w:val="FF0000"/>
                <w:sz w:val="16"/>
                <w:szCs w:val="16"/>
              </w:rPr>
              <w:t xml:space="preserve"> details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568"/>
              <w:gridCol w:w="1569"/>
            </w:tblGrid>
            <w:tr w:rsidR="002866D6" w14:paraId="033CAB3E" w14:textId="77777777" w:rsidTr="007B4276">
              <w:trPr>
                <w:cantSplit/>
                <w:trHeight w:val="115"/>
              </w:trPr>
              <w:tc>
                <w:tcPr>
                  <w:tcW w:w="1568" w:type="dxa"/>
                  <w:tcMar>
                    <w:top w:w="57" w:type="dxa"/>
                    <w:bottom w:w="57" w:type="dxa"/>
                  </w:tcMar>
                </w:tcPr>
                <w:p w14:paraId="7597714C" w14:textId="77777777" w:rsidR="002866D6" w:rsidRDefault="002866D6" w:rsidP="00DE39C8">
                  <w:pPr>
                    <w:pStyle w:val="TableTextLeft"/>
                    <w:framePr w:hSpace="181" w:wrap="around" w:vAnchor="text" w:hAnchor="page" w:x="8141" w:y="1"/>
                  </w:pPr>
                  <w:bookmarkStart w:id="1" w:name="BM_DocEventTable" w:colFirst="0" w:colLast="1"/>
                  <w:r>
                    <w:t>ASX Code</w:t>
                  </w:r>
                </w:p>
              </w:tc>
              <w:tc>
                <w:tcPr>
                  <w:tcW w:w="1569" w:type="dxa"/>
                  <w:tcMar>
                    <w:top w:w="57" w:type="dxa"/>
                    <w:bottom w:w="57" w:type="dxa"/>
                  </w:tcMar>
                </w:tcPr>
                <w:p w14:paraId="4DE27203" w14:textId="2284ACFD" w:rsidR="002866D6" w:rsidRDefault="009667D5" w:rsidP="00DE39C8">
                  <w:pPr>
                    <w:pStyle w:val="TableTextRight"/>
                    <w:framePr w:hSpace="181" w:wrap="around" w:vAnchor="text" w:hAnchor="page" w:x="8141" w:y="1"/>
                  </w:pPr>
                  <w:r>
                    <w:t>AJQ</w:t>
                  </w:r>
                </w:p>
              </w:tc>
            </w:tr>
            <w:tr w:rsidR="002866D6" w14:paraId="40EFF59F" w14:textId="77777777" w:rsidTr="007B4276">
              <w:trPr>
                <w:cantSplit/>
                <w:trHeight w:val="20"/>
              </w:trPr>
              <w:tc>
                <w:tcPr>
                  <w:tcW w:w="1568" w:type="dxa"/>
                  <w:tcMar>
                    <w:top w:w="57" w:type="dxa"/>
                    <w:bottom w:w="57" w:type="dxa"/>
                  </w:tcMar>
                </w:tcPr>
                <w:p w14:paraId="49822E4F" w14:textId="6824A03B" w:rsidR="002866D6" w:rsidRDefault="002866D6" w:rsidP="00DE39C8">
                  <w:pPr>
                    <w:pStyle w:val="TableTextLeft"/>
                    <w:framePr w:hSpace="181" w:wrap="around" w:vAnchor="text" w:hAnchor="page" w:x="8141" w:y="1"/>
                  </w:pPr>
                  <w:r>
                    <w:t>Share Price</w:t>
                  </w:r>
                  <w:r w:rsidR="002A6703">
                    <w:t xml:space="preserve"> </w:t>
                  </w:r>
                  <w:r w:rsidR="004744B0">
                    <w:t xml:space="preserve"> (intraday)</w:t>
                  </w:r>
                </w:p>
              </w:tc>
              <w:tc>
                <w:tcPr>
                  <w:tcW w:w="1569" w:type="dxa"/>
                  <w:tcMar>
                    <w:top w:w="57" w:type="dxa"/>
                    <w:bottom w:w="57" w:type="dxa"/>
                  </w:tcMar>
                </w:tcPr>
                <w:p w14:paraId="22375CCD" w14:textId="16B97E84" w:rsidR="002866D6" w:rsidRDefault="002866D6" w:rsidP="00DE39C8">
                  <w:pPr>
                    <w:pStyle w:val="TableTextRight"/>
                    <w:framePr w:hSpace="181" w:wrap="around" w:vAnchor="text" w:hAnchor="page" w:x="8141" w:y="1"/>
                  </w:pPr>
                  <w:r>
                    <w:t>$</w:t>
                  </w:r>
                  <w:r w:rsidR="00B66C83">
                    <w:t>0.</w:t>
                  </w:r>
                  <w:r w:rsidR="002F1E59">
                    <w:t>0</w:t>
                  </w:r>
                  <w:r w:rsidR="007538E8">
                    <w:t>37</w:t>
                  </w:r>
                </w:p>
              </w:tc>
            </w:tr>
            <w:tr w:rsidR="007B4276" w14:paraId="76E75BA4" w14:textId="77777777" w:rsidTr="007B4276">
              <w:trPr>
                <w:cantSplit/>
                <w:trHeight w:val="20"/>
              </w:trPr>
              <w:tc>
                <w:tcPr>
                  <w:tcW w:w="1568" w:type="dxa"/>
                  <w:tcMar>
                    <w:top w:w="57" w:type="dxa"/>
                    <w:bottom w:w="57" w:type="dxa"/>
                  </w:tcMar>
                </w:tcPr>
                <w:p w14:paraId="50AEA3BC" w14:textId="66228F76" w:rsidR="007B4276" w:rsidRDefault="007B4276" w:rsidP="00DE39C8">
                  <w:pPr>
                    <w:pStyle w:val="TableTextLeft"/>
                    <w:framePr w:hSpace="181" w:wrap="around" w:vAnchor="text" w:hAnchor="page" w:x="8141" w:y="1"/>
                  </w:pPr>
                  <w:r>
                    <w:t>Market Capitalisation</w:t>
                  </w:r>
                </w:p>
              </w:tc>
              <w:tc>
                <w:tcPr>
                  <w:tcW w:w="1569" w:type="dxa"/>
                  <w:tcMar>
                    <w:top w:w="57" w:type="dxa"/>
                    <w:bottom w:w="57" w:type="dxa"/>
                  </w:tcMar>
                </w:tcPr>
                <w:p w14:paraId="56CC4E5E" w14:textId="532ABBD7" w:rsidR="007B4276" w:rsidRDefault="007B4276" w:rsidP="00DE39C8">
                  <w:pPr>
                    <w:pStyle w:val="TableTextRight"/>
                    <w:framePr w:hSpace="181" w:wrap="around" w:vAnchor="text" w:hAnchor="page" w:x="8141" w:y="1"/>
                  </w:pPr>
                  <w:r>
                    <w:rPr>
                      <w:caps/>
                    </w:rPr>
                    <w:t>$</w:t>
                  </w:r>
                  <w:r w:rsidR="0044575A">
                    <w:rPr>
                      <w:caps/>
                    </w:rPr>
                    <w:t>43.1M</w:t>
                  </w:r>
                </w:p>
              </w:tc>
            </w:tr>
            <w:tr w:rsidR="007B4276" w14:paraId="1C0FAC04" w14:textId="77777777" w:rsidTr="007B4276">
              <w:trPr>
                <w:cantSplit/>
                <w:trHeight w:val="20"/>
              </w:trPr>
              <w:tc>
                <w:tcPr>
                  <w:tcW w:w="1568" w:type="dxa"/>
                  <w:tcMar>
                    <w:top w:w="57" w:type="dxa"/>
                    <w:bottom w:w="57" w:type="dxa"/>
                  </w:tcMar>
                </w:tcPr>
                <w:p w14:paraId="24B38735" w14:textId="575D42CC" w:rsidR="007B4276" w:rsidRPr="00AD4F56" w:rsidRDefault="007B4276" w:rsidP="00DE39C8">
                  <w:pPr>
                    <w:pStyle w:val="TableTextLeft"/>
                    <w:framePr w:hSpace="181" w:wrap="around" w:vAnchor="text" w:hAnchor="page" w:x="8141" w:y="1"/>
                  </w:pPr>
                  <w:r>
                    <w:t>Shares on issue</w:t>
                  </w:r>
                </w:p>
              </w:tc>
              <w:tc>
                <w:tcPr>
                  <w:tcW w:w="1569" w:type="dxa"/>
                  <w:tcMar>
                    <w:top w:w="57" w:type="dxa"/>
                    <w:bottom w:w="57" w:type="dxa"/>
                  </w:tcMar>
                </w:tcPr>
                <w:p w14:paraId="1656D3FF" w14:textId="1071AD39" w:rsidR="007B4276" w:rsidRDefault="007538E8" w:rsidP="00DE39C8">
                  <w:pPr>
                    <w:pStyle w:val="TableTextRight"/>
                    <w:framePr w:hSpace="181" w:wrap="around" w:vAnchor="text" w:hAnchor="page" w:x="8141" w:y="1"/>
                  </w:pPr>
                  <w:r>
                    <w:rPr>
                      <w:caps/>
                    </w:rPr>
                    <w:t>1,276M</w:t>
                  </w:r>
                </w:p>
              </w:tc>
            </w:tr>
            <w:tr w:rsidR="007B4276" w14:paraId="296A3B88" w14:textId="77777777" w:rsidTr="007B4276">
              <w:trPr>
                <w:cantSplit/>
                <w:trHeight w:val="20"/>
              </w:trPr>
              <w:tc>
                <w:tcPr>
                  <w:tcW w:w="1568" w:type="dxa"/>
                  <w:tcMar>
                    <w:top w:w="57" w:type="dxa"/>
                    <w:bottom w:w="57" w:type="dxa"/>
                  </w:tcMar>
                </w:tcPr>
                <w:p w14:paraId="021A77D9" w14:textId="542DE2C5" w:rsidR="007B4276" w:rsidRDefault="007B4276" w:rsidP="00DE39C8">
                  <w:pPr>
                    <w:pStyle w:val="TableTextLeft"/>
                    <w:framePr w:hSpace="181" w:wrap="around" w:vAnchor="text" w:hAnchor="page" w:x="8141" w:y="1"/>
                  </w:pPr>
                  <w:r>
                    <w:t xml:space="preserve">Net debt at </w:t>
                  </w:r>
                  <w:r w:rsidR="002F1E59">
                    <w:t>31 Dec</w:t>
                  </w:r>
                  <w:r>
                    <w:t xml:space="preserve"> </w:t>
                  </w:r>
                </w:p>
              </w:tc>
              <w:tc>
                <w:tcPr>
                  <w:tcW w:w="1569" w:type="dxa"/>
                  <w:tcMar>
                    <w:top w:w="57" w:type="dxa"/>
                    <w:bottom w:w="57" w:type="dxa"/>
                  </w:tcMar>
                </w:tcPr>
                <w:p w14:paraId="4C746C44" w14:textId="0F5ADB4D" w:rsidR="007B4276" w:rsidRDefault="007B4276" w:rsidP="00DE39C8">
                  <w:pPr>
                    <w:pStyle w:val="TableTextRight"/>
                    <w:framePr w:hSpace="181" w:wrap="around" w:vAnchor="text" w:hAnchor="page" w:x="8141" w:y="1"/>
                  </w:pPr>
                  <w:r w:rsidRPr="00B24B14">
                    <w:rPr>
                      <w:caps/>
                    </w:rPr>
                    <w:t>$</w:t>
                  </w:r>
                  <w:r w:rsidR="002F1E59">
                    <w:rPr>
                      <w:caps/>
                    </w:rPr>
                    <w:t>XXM</w:t>
                  </w:r>
                </w:p>
              </w:tc>
            </w:tr>
            <w:tr w:rsidR="007B4276" w14:paraId="2E8D2305" w14:textId="77777777" w:rsidTr="007B4276">
              <w:trPr>
                <w:cantSplit/>
                <w:trHeight w:val="20"/>
              </w:trPr>
              <w:tc>
                <w:tcPr>
                  <w:tcW w:w="1568" w:type="dxa"/>
                  <w:tcMar>
                    <w:top w:w="57" w:type="dxa"/>
                    <w:bottom w:w="57" w:type="dxa"/>
                  </w:tcMar>
                </w:tcPr>
                <w:p w14:paraId="6B7A9E2E" w14:textId="5FE3493D" w:rsidR="007B4276" w:rsidRDefault="007B4276" w:rsidP="00DE39C8">
                  <w:pPr>
                    <w:pStyle w:val="TableTextLeft"/>
                    <w:framePr w:hSpace="181" w:wrap="around" w:vAnchor="text" w:hAnchor="page" w:x="8141" w:y="1"/>
                  </w:pPr>
                  <w:r>
                    <w:t xml:space="preserve">Free float </w:t>
                  </w:r>
                </w:p>
              </w:tc>
              <w:tc>
                <w:tcPr>
                  <w:tcW w:w="1569" w:type="dxa"/>
                  <w:tcMar>
                    <w:top w:w="57" w:type="dxa"/>
                    <w:bottom w:w="57" w:type="dxa"/>
                  </w:tcMar>
                </w:tcPr>
                <w:p w14:paraId="5A133961" w14:textId="07450604" w:rsidR="007B4276" w:rsidRDefault="00663DCB" w:rsidP="00DE39C8">
                  <w:pPr>
                    <w:pStyle w:val="TableTextRight"/>
                    <w:framePr w:hSpace="181" w:wrap="around" w:vAnchor="text" w:hAnchor="page" w:x="8141" w:y="1"/>
                    <w:jc w:val="center"/>
                  </w:pPr>
                  <w:r>
                    <w:rPr>
                      <w:caps/>
                    </w:rPr>
                    <w:t xml:space="preserve">                              </w:t>
                  </w:r>
                  <w:r w:rsidR="007B4276" w:rsidRPr="001D344D">
                    <w:rPr>
                      <w:caps/>
                    </w:rPr>
                    <w:t>~</w:t>
                  </w:r>
                  <w:r w:rsidR="0044575A">
                    <w:rPr>
                      <w:caps/>
                    </w:rPr>
                    <w:t>6</w:t>
                  </w:r>
                  <w:r w:rsidR="007B4276">
                    <w:rPr>
                      <w:caps/>
                    </w:rPr>
                    <w:t>9%</w:t>
                  </w:r>
                </w:p>
              </w:tc>
            </w:tr>
          </w:tbl>
          <w:bookmarkEnd w:id="1"/>
          <w:p w14:paraId="7785360E" w14:textId="0BB75EAD" w:rsidR="009D5FC6" w:rsidRPr="00606EA3" w:rsidRDefault="00DE39C8" w:rsidP="009A385C">
            <w:pPr>
              <w:pStyle w:val="Caption"/>
              <w:rPr>
                <w:color w:val="FF0000"/>
                <w:sz w:val="16"/>
                <w:szCs w:val="16"/>
              </w:rPr>
            </w:pPr>
            <w:r>
              <w:rPr>
                <w:noProof/>
                <w:color w:val="FF0000"/>
                <w:sz w:val="16"/>
                <w:szCs w:val="16"/>
              </w:rPr>
              <mc:AlternateContent>
                <mc:Choice Requires="wps">
                  <w:drawing>
                    <wp:anchor distT="0" distB="0" distL="114300" distR="114300" simplePos="0" relativeHeight="251659264" behindDoc="0" locked="0" layoutInCell="1" allowOverlap="1" wp14:anchorId="14B7BFBC" wp14:editId="2DC6625F">
                      <wp:simplePos x="0" y="0"/>
                      <wp:positionH relativeFrom="column">
                        <wp:posOffset>10167</wp:posOffset>
                      </wp:positionH>
                      <wp:positionV relativeFrom="paragraph">
                        <wp:posOffset>232327</wp:posOffset>
                      </wp:positionV>
                      <wp:extent cx="1984142" cy="1034138"/>
                      <wp:effectExtent l="0" t="0" r="0" b="0"/>
                      <wp:wrapNone/>
                      <wp:docPr id="6" name="Text Box 6"/>
                      <wp:cNvGraphicFramePr/>
                      <a:graphic xmlns:a="http://schemas.openxmlformats.org/drawingml/2006/main">
                        <a:graphicData uri="http://schemas.microsoft.com/office/word/2010/wordprocessingShape">
                          <wps:wsp>
                            <wps:cNvSpPr txBox="1"/>
                            <wps:spPr>
                              <a:xfrm>
                                <a:off x="0" y="0"/>
                                <a:ext cx="1984142" cy="1034138"/>
                              </a:xfrm>
                              <a:prstGeom prst="rect">
                                <a:avLst/>
                              </a:prstGeom>
                              <a:noFill/>
                              <a:ln w="6350">
                                <a:noFill/>
                              </a:ln>
                            </wps:spPr>
                            <wps:txbx>
                              <w:txbxContent>
                                <w:p w14:paraId="6FBE94FC" w14:textId="094E3BC9" w:rsidR="00DE39C8" w:rsidRDefault="00DE39C8">
                                  <w:r w:rsidRPr="00DE39C8">
                                    <w:drawing>
                                      <wp:inline distT="0" distB="0" distL="0" distR="0" wp14:anchorId="1A0FD015" wp14:editId="647CB0EF">
                                        <wp:extent cx="1794510" cy="907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4510" cy="907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B7BFBC" id="_x0000_t202" coordsize="21600,21600" o:spt="202" path="m,l,21600r21600,l21600,xe">
                      <v:stroke joinstyle="miter"/>
                      <v:path gradientshapeok="t" o:connecttype="rect"/>
                    </v:shapetype>
                    <v:shape id="Text Box 6" o:spid="_x0000_s1026" type="#_x0000_t202" style="position:absolute;left:0;text-align:left;margin-left:.8pt;margin-top:18.3pt;width:156.25pt;height:8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" filled="f" stroked="f" strokeweight=".5pt">
                      <v:textbox>
                        <w:txbxContent>
                          <w:p w14:paraId="6FBE94FC" w14:textId="094E3BC9" w:rsidR="00DE39C8" w:rsidRDefault="00DE39C8">
                            <w:r w:rsidRPr="00DE39C8">
                              <w:drawing>
                                <wp:inline distT="0" distB="0" distL="0" distR="0" wp14:anchorId="1A0FD015" wp14:editId="647CB0EF">
                                  <wp:extent cx="1794510" cy="907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4510" cy="907415"/>
                                          </a:xfrm>
                                          <a:prstGeom prst="rect">
                                            <a:avLst/>
                                          </a:prstGeom>
                                          <a:noFill/>
                                          <a:ln>
                                            <a:noFill/>
                                          </a:ln>
                                        </pic:spPr>
                                      </pic:pic>
                                    </a:graphicData>
                                  </a:graphic>
                                </wp:inline>
                              </w:drawing>
                            </w:r>
                          </w:p>
                        </w:txbxContent>
                      </v:textbox>
                    </v:shape>
                  </w:pict>
                </mc:Fallback>
              </mc:AlternateContent>
            </w:r>
            <w:r w:rsidR="000B5962" w:rsidRPr="001D3B61">
              <w:rPr>
                <w:color w:val="FF0000"/>
                <w:sz w:val="16"/>
                <w:szCs w:val="16"/>
              </w:rPr>
              <w:t>Share price performance</w:t>
            </w:r>
            <w:r w:rsidR="0043419E" w:rsidRPr="001D3B61">
              <w:rPr>
                <w:color w:val="FF0000"/>
                <w:sz w:val="16"/>
                <w:szCs w:val="16"/>
              </w:rPr>
              <w:t xml:space="preserve"> (</w:t>
            </w:r>
            <w:r w:rsidR="00CA53E7">
              <w:rPr>
                <w:color w:val="FF0000"/>
                <w:sz w:val="16"/>
                <w:szCs w:val="16"/>
              </w:rPr>
              <w:t>12-months</w:t>
            </w:r>
            <w:r w:rsidR="0043419E" w:rsidRPr="001D3B61">
              <w:rPr>
                <w:color w:val="FF0000"/>
                <w:sz w:val="16"/>
                <w:szCs w:val="16"/>
              </w:rPr>
              <w:t>)</w:t>
            </w:r>
          </w:p>
          <w:tbl>
            <w:tblPr>
              <w:tblStyle w:val="TableGrid"/>
              <w:tblW w:w="3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tblGrid>
            <w:tr w:rsidR="00AB3EDE" w14:paraId="23C011AC" w14:textId="77777777" w:rsidTr="00B236AF">
              <w:trPr>
                <w:trHeight w:hRule="exact" w:val="1584"/>
              </w:trPr>
              <w:tc>
                <w:tcPr>
                  <w:tcW w:w="3240" w:type="dxa"/>
                </w:tcPr>
                <w:p w14:paraId="4C779C9D" w14:textId="794EB442" w:rsidR="00D1778B" w:rsidRDefault="00D1778B" w:rsidP="00DE39C8">
                  <w:pPr>
                    <w:pStyle w:val="BusiDescript"/>
                    <w:framePr w:hSpace="181" w:wrap="around" w:vAnchor="text" w:hAnchor="page" w:x="8141" w:y="1"/>
                    <w:spacing w:before="0" w:line="240" w:lineRule="auto"/>
                    <w:ind w:left="-105"/>
                    <w:jc w:val="right"/>
                  </w:pPr>
                </w:p>
              </w:tc>
            </w:tr>
          </w:tbl>
          <w:p w14:paraId="4982C930" w14:textId="77777777" w:rsidR="009D5FC6" w:rsidRPr="00606EA3" w:rsidRDefault="00C236A2" w:rsidP="00CD2F98">
            <w:pPr>
              <w:pStyle w:val="Caption"/>
              <w:rPr>
                <w:color w:val="FF0000"/>
                <w:sz w:val="16"/>
                <w:szCs w:val="16"/>
              </w:rPr>
            </w:pPr>
            <w:r w:rsidRPr="00606EA3">
              <w:rPr>
                <w:color w:val="FF0000"/>
                <w:sz w:val="16"/>
                <w:szCs w:val="16"/>
              </w:rPr>
              <w:t>Upside Case</w:t>
            </w:r>
          </w:p>
          <w:tbl>
            <w:tblPr>
              <w:tblStyle w:val="TableGrid"/>
              <w:tblW w:w="12814" w:type="dxa"/>
              <w:tblLayout w:type="fixed"/>
              <w:tblCellMar>
                <w:left w:w="57" w:type="dxa"/>
                <w:right w:w="57" w:type="dxa"/>
              </w:tblCellMar>
              <w:tblLook w:val="04A0" w:firstRow="1" w:lastRow="0" w:firstColumn="1" w:lastColumn="0" w:noHBand="0" w:noVBand="1"/>
            </w:tblPr>
            <w:tblGrid>
              <w:gridCol w:w="3203"/>
              <w:gridCol w:w="3203"/>
              <w:gridCol w:w="3204"/>
              <w:gridCol w:w="3204"/>
            </w:tblGrid>
            <w:tr w:rsidR="003B28D5" w14:paraId="643A4CCB" w14:textId="77777777" w:rsidTr="00E4551C">
              <w:tc>
                <w:tcPr>
                  <w:tcW w:w="1250" w:type="pct"/>
                  <w:tcBorders>
                    <w:top w:val="nil"/>
                    <w:left w:val="nil"/>
                    <w:bottom w:val="nil"/>
                    <w:right w:val="nil"/>
                  </w:tcBorders>
                </w:tcPr>
                <w:p w14:paraId="652200BB" w14:textId="40B74177" w:rsidR="003B28D5" w:rsidRPr="00C214D0" w:rsidRDefault="00E0230C" w:rsidP="00DE39C8">
                  <w:pPr>
                    <w:pStyle w:val="TableBullet1"/>
                    <w:framePr w:hSpace="181" w:wrap="around" w:vAnchor="text" w:hAnchor="page" w:x="8141" w:y="1"/>
                    <w:numPr>
                      <w:ilvl w:val="0"/>
                      <w:numId w:val="13"/>
                    </w:numPr>
                  </w:pPr>
                  <w:r>
                    <w:t>Above expectation results from Kincora gas growth programme…more gas, higher price, lower capex</w:t>
                  </w:r>
                </w:p>
              </w:tc>
              <w:tc>
                <w:tcPr>
                  <w:tcW w:w="1250" w:type="pct"/>
                  <w:tcBorders>
                    <w:top w:val="nil"/>
                    <w:left w:val="nil"/>
                    <w:bottom w:val="nil"/>
                    <w:right w:val="nil"/>
                  </w:tcBorders>
                </w:tcPr>
                <w:p w14:paraId="396D1A65" w14:textId="72C0AFB7" w:rsidR="003B28D5" w:rsidRDefault="003B28D5" w:rsidP="00DE39C8">
                  <w:pPr>
                    <w:pStyle w:val="TableBullet1"/>
                    <w:framePr w:hSpace="181" w:wrap="around" w:vAnchor="text" w:hAnchor="page" w:x="8141" w:y="1"/>
                    <w:numPr>
                      <w:ilvl w:val="0"/>
                      <w:numId w:val="13"/>
                    </w:numPr>
                  </w:pPr>
                  <w:r w:rsidRPr="00C214D0">
                    <w:t>Highly scalable SaaS model</w:t>
                  </w:r>
                </w:p>
              </w:tc>
              <w:tc>
                <w:tcPr>
                  <w:tcW w:w="1250" w:type="pct"/>
                  <w:tcBorders>
                    <w:top w:val="nil"/>
                    <w:left w:val="nil"/>
                    <w:bottom w:val="nil"/>
                    <w:right w:val="nil"/>
                  </w:tcBorders>
                </w:tcPr>
                <w:p w14:paraId="299A6B03" w14:textId="77777777" w:rsidR="003B28D5" w:rsidRDefault="003B28D5" w:rsidP="00DE39C8">
                  <w:pPr>
                    <w:pStyle w:val="TableBullet1"/>
                    <w:framePr w:hSpace="181" w:wrap="around" w:vAnchor="text" w:hAnchor="page" w:x="8141" w:y="1"/>
                    <w:numPr>
                      <w:ilvl w:val="0"/>
                      <w:numId w:val="0"/>
                    </w:numPr>
                  </w:pPr>
                </w:p>
              </w:tc>
              <w:tc>
                <w:tcPr>
                  <w:tcW w:w="1250" w:type="pct"/>
                  <w:tcBorders>
                    <w:top w:val="nil"/>
                    <w:left w:val="nil"/>
                    <w:bottom w:val="nil"/>
                    <w:right w:val="nil"/>
                  </w:tcBorders>
                  <w:tcMar>
                    <w:top w:w="57" w:type="dxa"/>
                    <w:bottom w:w="57" w:type="dxa"/>
                  </w:tcMar>
                </w:tcPr>
                <w:p w14:paraId="24080F29" w14:textId="77777777" w:rsidR="003B28D5" w:rsidRPr="004F5245" w:rsidRDefault="003B28D5" w:rsidP="00DE39C8">
                  <w:pPr>
                    <w:pStyle w:val="TableBullet1"/>
                    <w:framePr w:hSpace="181" w:wrap="around" w:vAnchor="text" w:hAnchor="page" w:x="8141" w:y="1"/>
                    <w:numPr>
                      <w:ilvl w:val="0"/>
                      <w:numId w:val="3"/>
                    </w:numPr>
                    <w:rPr>
                      <w:color w:val="auto"/>
                    </w:rPr>
                  </w:pPr>
                  <w:bookmarkStart w:id="2" w:name="BM_DocAnaTable" w:colFirst="0" w:colLast="1"/>
                </w:p>
              </w:tc>
            </w:tr>
            <w:tr w:rsidR="003B28D5" w14:paraId="698F0C44" w14:textId="77777777" w:rsidTr="00E4551C">
              <w:tc>
                <w:tcPr>
                  <w:tcW w:w="1250" w:type="pct"/>
                  <w:tcBorders>
                    <w:top w:val="nil"/>
                    <w:left w:val="nil"/>
                    <w:bottom w:val="nil"/>
                    <w:right w:val="nil"/>
                  </w:tcBorders>
                </w:tcPr>
                <w:p w14:paraId="7055CC29" w14:textId="7D2D4493" w:rsidR="003B28D5" w:rsidRDefault="00BE1EB1" w:rsidP="00DE39C8">
                  <w:pPr>
                    <w:pStyle w:val="TableBullet1"/>
                    <w:framePr w:hSpace="181" w:wrap="around" w:vAnchor="text" w:hAnchor="page" w:x="8141" w:y="1"/>
                    <w:numPr>
                      <w:ilvl w:val="0"/>
                      <w:numId w:val="13"/>
                    </w:numPr>
                  </w:pPr>
                  <w:r w:rsidRPr="0040391C">
                    <w:t xml:space="preserve">Northern Australia success and securing a farm-in partner for the NT assets. Referred success from regional exploration would </w:t>
                  </w:r>
                  <w:r w:rsidR="00B236AF">
                    <w:t xml:space="preserve">help to </w:t>
                  </w:r>
                  <w:r w:rsidRPr="0040391C">
                    <w:t>crystallise value</w:t>
                  </w:r>
                </w:p>
              </w:tc>
              <w:tc>
                <w:tcPr>
                  <w:tcW w:w="1250" w:type="pct"/>
                  <w:tcBorders>
                    <w:top w:val="nil"/>
                    <w:left w:val="nil"/>
                    <w:bottom w:val="nil"/>
                    <w:right w:val="nil"/>
                  </w:tcBorders>
                </w:tcPr>
                <w:p w14:paraId="088F6D0A" w14:textId="43A371E9" w:rsidR="003B28D5" w:rsidRDefault="003B28D5" w:rsidP="00DE39C8">
                  <w:pPr>
                    <w:pStyle w:val="TableBullet1"/>
                    <w:framePr w:hSpace="181" w:wrap="around" w:vAnchor="text" w:hAnchor="page" w:x="8141" w:y="1"/>
                    <w:numPr>
                      <w:ilvl w:val="0"/>
                      <w:numId w:val="13"/>
                    </w:numPr>
                  </w:pPr>
                  <w:r>
                    <w:t>Significant validation achieved over the past six</w:t>
                  </w:r>
                </w:p>
                <w:p w14:paraId="2BA0EABA" w14:textId="3E5A6461" w:rsidR="003B28D5" w:rsidRDefault="003B28D5" w:rsidP="00DE39C8">
                  <w:pPr>
                    <w:pStyle w:val="TableBullet1"/>
                    <w:framePr w:hSpace="181" w:wrap="around" w:vAnchor="text" w:hAnchor="page" w:x="8141" w:y="1"/>
                    <w:numPr>
                      <w:ilvl w:val="0"/>
                      <w:numId w:val="0"/>
                    </w:numPr>
                    <w:ind w:left="170"/>
                  </w:pPr>
                  <w:r>
                    <w:t>months with major US organisations and companies adopting Total Brain’s technology</w:t>
                  </w:r>
                </w:p>
              </w:tc>
              <w:tc>
                <w:tcPr>
                  <w:tcW w:w="1250" w:type="pct"/>
                  <w:tcBorders>
                    <w:top w:val="nil"/>
                    <w:left w:val="nil"/>
                    <w:bottom w:val="nil"/>
                    <w:right w:val="nil"/>
                  </w:tcBorders>
                </w:tcPr>
                <w:p w14:paraId="5759B963" w14:textId="77777777" w:rsidR="003B28D5" w:rsidRDefault="003B28D5" w:rsidP="00DE39C8">
                  <w:pPr>
                    <w:pStyle w:val="TableBullet1"/>
                    <w:framePr w:hSpace="181" w:wrap="around" w:vAnchor="text" w:hAnchor="page" w:x="8141" w:y="1"/>
                    <w:numPr>
                      <w:ilvl w:val="0"/>
                      <w:numId w:val="0"/>
                    </w:numPr>
                  </w:pPr>
                </w:p>
              </w:tc>
              <w:tc>
                <w:tcPr>
                  <w:tcW w:w="1250" w:type="pct"/>
                  <w:tcBorders>
                    <w:top w:val="nil"/>
                    <w:left w:val="nil"/>
                    <w:bottom w:val="nil"/>
                    <w:right w:val="nil"/>
                  </w:tcBorders>
                  <w:tcMar>
                    <w:top w:w="57" w:type="dxa"/>
                    <w:bottom w:w="57" w:type="dxa"/>
                  </w:tcMar>
                </w:tcPr>
                <w:p w14:paraId="2829E04F" w14:textId="77777777" w:rsidR="003B28D5" w:rsidRPr="004F5245" w:rsidRDefault="003B28D5" w:rsidP="00DE39C8">
                  <w:pPr>
                    <w:pStyle w:val="TableBullet1"/>
                    <w:framePr w:hSpace="181" w:wrap="around" w:vAnchor="text" w:hAnchor="page" w:x="8141" w:y="1"/>
                    <w:numPr>
                      <w:ilvl w:val="0"/>
                      <w:numId w:val="3"/>
                    </w:numPr>
                    <w:rPr>
                      <w:color w:val="auto"/>
                    </w:rPr>
                  </w:pPr>
                </w:p>
              </w:tc>
            </w:tr>
            <w:tr w:rsidR="003B28D5" w14:paraId="2A386155" w14:textId="77777777" w:rsidTr="00E4551C">
              <w:tc>
                <w:tcPr>
                  <w:tcW w:w="1250" w:type="pct"/>
                  <w:tcBorders>
                    <w:top w:val="nil"/>
                    <w:left w:val="nil"/>
                    <w:bottom w:val="single" w:sz="4" w:space="0" w:color="FFFFFF" w:themeColor="background1"/>
                    <w:right w:val="nil"/>
                  </w:tcBorders>
                </w:tcPr>
                <w:p w14:paraId="02D7E7A1" w14:textId="7652071C" w:rsidR="003B28D5" w:rsidRPr="00C214D0" w:rsidRDefault="00DE6508" w:rsidP="00DE39C8">
                  <w:pPr>
                    <w:pStyle w:val="TableBullet1"/>
                    <w:framePr w:hSpace="181" w:wrap="around" w:vAnchor="text" w:hAnchor="page" w:x="8141" w:y="1"/>
                    <w:numPr>
                      <w:ilvl w:val="0"/>
                      <w:numId w:val="13"/>
                    </w:numPr>
                  </w:pPr>
                  <w:r w:rsidRPr="00337FA9">
                    <w:t>Success opens alternate financing options</w:t>
                  </w:r>
                  <w:r>
                    <w:t>, improves the balance sheet</w:t>
                  </w:r>
                  <w:r w:rsidRPr="00337FA9">
                    <w:t xml:space="preserve"> and restricts dilution</w:t>
                  </w:r>
                  <w:r>
                    <w:rPr>
                      <w:color w:val="auto"/>
                    </w:rPr>
                    <w:t xml:space="preserve"> </w:t>
                  </w:r>
                </w:p>
              </w:tc>
              <w:tc>
                <w:tcPr>
                  <w:tcW w:w="1250" w:type="pct"/>
                  <w:tcBorders>
                    <w:top w:val="nil"/>
                    <w:left w:val="nil"/>
                    <w:bottom w:val="single" w:sz="4" w:space="0" w:color="FFFFFF" w:themeColor="background1"/>
                    <w:right w:val="nil"/>
                  </w:tcBorders>
                </w:tcPr>
                <w:p w14:paraId="2FD6772D" w14:textId="228FD480" w:rsidR="003B28D5" w:rsidRDefault="003B28D5" w:rsidP="00DE39C8">
                  <w:pPr>
                    <w:pStyle w:val="TableBullet1"/>
                    <w:framePr w:hSpace="181" w:wrap="around" w:vAnchor="text" w:hAnchor="page" w:x="8141" w:y="1"/>
                    <w:numPr>
                      <w:ilvl w:val="0"/>
                      <w:numId w:val="13"/>
                    </w:numPr>
                  </w:pPr>
                  <w:r w:rsidRPr="00C214D0">
                    <w:t>Targeting predominantly US corporates and consumers</w:t>
                  </w:r>
                </w:p>
              </w:tc>
              <w:tc>
                <w:tcPr>
                  <w:tcW w:w="1250" w:type="pct"/>
                  <w:tcBorders>
                    <w:top w:val="nil"/>
                    <w:left w:val="nil"/>
                    <w:bottom w:val="single" w:sz="4" w:space="0" w:color="FFFFFF" w:themeColor="background1"/>
                    <w:right w:val="nil"/>
                  </w:tcBorders>
                </w:tcPr>
                <w:p w14:paraId="51A6D775" w14:textId="77777777" w:rsidR="003B28D5" w:rsidRDefault="003B28D5" w:rsidP="00DE39C8">
                  <w:pPr>
                    <w:pStyle w:val="TableBullet1"/>
                    <w:framePr w:hSpace="181" w:wrap="around" w:vAnchor="text" w:hAnchor="page" w:x="8141" w:y="1"/>
                    <w:numPr>
                      <w:ilvl w:val="0"/>
                      <w:numId w:val="0"/>
                    </w:numPr>
                  </w:pPr>
                </w:p>
              </w:tc>
              <w:tc>
                <w:tcPr>
                  <w:tcW w:w="1250" w:type="pct"/>
                  <w:tcBorders>
                    <w:top w:val="nil"/>
                    <w:left w:val="nil"/>
                    <w:bottom w:val="nil"/>
                    <w:right w:val="nil"/>
                  </w:tcBorders>
                  <w:tcMar>
                    <w:top w:w="57" w:type="dxa"/>
                    <w:bottom w:w="57" w:type="dxa"/>
                  </w:tcMar>
                </w:tcPr>
                <w:p w14:paraId="08A482BE" w14:textId="77777777" w:rsidR="003B28D5" w:rsidRPr="004F5245" w:rsidRDefault="003B28D5" w:rsidP="00DE39C8">
                  <w:pPr>
                    <w:pStyle w:val="TableBullet1"/>
                    <w:framePr w:hSpace="181" w:wrap="around" w:vAnchor="text" w:hAnchor="page" w:x="8141" w:y="1"/>
                    <w:numPr>
                      <w:ilvl w:val="0"/>
                      <w:numId w:val="3"/>
                    </w:numPr>
                    <w:rPr>
                      <w:color w:val="auto"/>
                    </w:rPr>
                  </w:pPr>
                </w:p>
              </w:tc>
            </w:tr>
          </w:tbl>
          <w:bookmarkEnd w:id="2"/>
          <w:p w14:paraId="4FFAB718" w14:textId="77777777" w:rsidR="009D5FC6" w:rsidRPr="00606EA3" w:rsidRDefault="00C236A2" w:rsidP="00CD2F98">
            <w:pPr>
              <w:pStyle w:val="Caption"/>
              <w:rPr>
                <w:color w:val="FF0000"/>
                <w:sz w:val="16"/>
                <w:szCs w:val="16"/>
              </w:rPr>
            </w:pPr>
            <w:r w:rsidRPr="00606EA3">
              <w:rPr>
                <w:color w:val="FF0000"/>
                <w:sz w:val="16"/>
                <w:szCs w:val="16"/>
              </w:rPr>
              <w:t>Downside Case</w:t>
            </w:r>
          </w:p>
          <w:tbl>
            <w:tblPr>
              <w:tblStyle w:val="TableGrid"/>
              <w:tblW w:w="3399" w:type="dxa"/>
              <w:tblLayout w:type="fixed"/>
              <w:tblCellMar>
                <w:left w:w="57" w:type="dxa"/>
                <w:right w:w="57" w:type="dxa"/>
              </w:tblCellMar>
              <w:tblLook w:val="04A0" w:firstRow="1" w:lastRow="0" w:firstColumn="1" w:lastColumn="0" w:noHBand="0" w:noVBand="1"/>
            </w:tblPr>
            <w:tblGrid>
              <w:gridCol w:w="3117"/>
              <w:gridCol w:w="66"/>
              <w:gridCol w:w="81"/>
              <w:gridCol w:w="55"/>
              <w:gridCol w:w="30"/>
              <w:gridCol w:w="50"/>
            </w:tblGrid>
            <w:tr w:rsidR="002866D6" w14:paraId="104370BE" w14:textId="77777777" w:rsidTr="00A30625">
              <w:trPr>
                <w:gridAfter w:val="1"/>
                <w:wAfter w:w="74" w:type="pct"/>
              </w:trPr>
              <w:tc>
                <w:tcPr>
                  <w:tcW w:w="4682" w:type="pct"/>
                  <w:gridSpan w:val="2"/>
                  <w:tcBorders>
                    <w:top w:val="nil"/>
                    <w:left w:val="nil"/>
                    <w:bottom w:val="nil"/>
                    <w:right w:val="nil"/>
                  </w:tcBorders>
                </w:tcPr>
                <w:p w14:paraId="604EFCEB" w14:textId="09877623" w:rsidR="00DD3B11" w:rsidRDefault="00370E9B" w:rsidP="00DE39C8">
                  <w:pPr>
                    <w:pStyle w:val="TableBullet1"/>
                    <w:framePr w:hSpace="181" w:wrap="around" w:vAnchor="text" w:hAnchor="page" w:x="8141" w:y="1"/>
                    <w:numPr>
                      <w:ilvl w:val="0"/>
                      <w:numId w:val="14"/>
                    </w:numPr>
                  </w:pPr>
                  <w:r>
                    <w:t>Gas growth is not delivered to expectation</w:t>
                  </w:r>
                </w:p>
              </w:tc>
              <w:tc>
                <w:tcPr>
                  <w:tcW w:w="244" w:type="pct"/>
                  <w:gridSpan w:val="3"/>
                  <w:tcBorders>
                    <w:top w:val="nil"/>
                    <w:left w:val="nil"/>
                    <w:bottom w:val="nil"/>
                    <w:right w:val="nil"/>
                  </w:tcBorders>
                  <w:tcMar>
                    <w:top w:w="57" w:type="dxa"/>
                    <w:bottom w:w="57" w:type="dxa"/>
                  </w:tcMar>
                </w:tcPr>
                <w:p w14:paraId="51499E1C" w14:textId="77777777" w:rsidR="002866D6" w:rsidRDefault="002866D6" w:rsidP="00DE39C8">
                  <w:pPr>
                    <w:pStyle w:val="TableBullet1"/>
                    <w:framePr w:hSpace="181" w:wrap="around" w:vAnchor="text" w:hAnchor="page" w:x="8141" w:y="1"/>
                    <w:numPr>
                      <w:ilvl w:val="0"/>
                      <w:numId w:val="4"/>
                    </w:numPr>
                  </w:pPr>
                </w:p>
              </w:tc>
            </w:tr>
            <w:tr w:rsidR="002866D6" w14:paraId="23754AE0" w14:textId="77777777" w:rsidTr="00A30625">
              <w:trPr>
                <w:gridAfter w:val="1"/>
                <w:wAfter w:w="74" w:type="pct"/>
              </w:trPr>
              <w:tc>
                <w:tcPr>
                  <w:tcW w:w="4682" w:type="pct"/>
                  <w:gridSpan w:val="2"/>
                  <w:tcBorders>
                    <w:top w:val="nil"/>
                    <w:left w:val="nil"/>
                    <w:bottom w:val="nil"/>
                    <w:right w:val="nil"/>
                  </w:tcBorders>
                </w:tcPr>
                <w:p w14:paraId="32854017" w14:textId="2208250C" w:rsidR="00AA49E8" w:rsidRDefault="00384AAA" w:rsidP="00DE39C8">
                  <w:pPr>
                    <w:pStyle w:val="TableBullet1"/>
                    <w:framePr w:hSpace="181" w:wrap="around" w:vAnchor="text" w:hAnchor="page" w:x="8141" w:y="1"/>
                    <w:numPr>
                      <w:ilvl w:val="0"/>
                      <w:numId w:val="14"/>
                    </w:numPr>
                  </w:pPr>
                  <w:r>
                    <w:t xml:space="preserve">Current operating environment persists and all projects </w:t>
                  </w:r>
                  <w:r w:rsidR="00B236AF">
                    <w:t>continue to be impacted by COVID related restrictions</w:t>
                  </w:r>
                </w:p>
              </w:tc>
              <w:tc>
                <w:tcPr>
                  <w:tcW w:w="244" w:type="pct"/>
                  <w:gridSpan w:val="3"/>
                  <w:tcBorders>
                    <w:top w:val="nil"/>
                    <w:left w:val="nil"/>
                    <w:bottom w:val="nil"/>
                    <w:right w:val="nil"/>
                  </w:tcBorders>
                  <w:tcMar>
                    <w:top w:w="57" w:type="dxa"/>
                    <w:bottom w:w="57" w:type="dxa"/>
                  </w:tcMar>
                </w:tcPr>
                <w:p w14:paraId="3CF87A36" w14:textId="77777777" w:rsidR="002866D6" w:rsidRDefault="002866D6" w:rsidP="00DE39C8">
                  <w:pPr>
                    <w:pStyle w:val="TableBullet1"/>
                    <w:framePr w:hSpace="181" w:wrap="around" w:vAnchor="text" w:hAnchor="page" w:x="8141" w:y="1"/>
                    <w:numPr>
                      <w:ilvl w:val="0"/>
                      <w:numId w:val="4"/>
                    </w:numPr>
                  </w:pPr>
                </w:p>
              </w:tc>
            </w:tr>
            <w:tr w:rsidR="002866D6" w14:paraId="7287BDBF" w14:textId="77777777" w:rsidTr="00A30625">
              <w:trPr>
                <w:gridAfter w:val="1"/>
                <w:wAfter w:w="74" w:type="pct"/>
              </w:trPr>
              <w:tc>
                <w:tcPr>
                  <w:tcW w:w="4682" w:type="pct"/>
                  <w:gridSpan w:val="2"/>
                  <w:tcBorders>
                    <w:top w:val="nil"/>
                    <w:left w:val="nil"/>
                    <w:bottom w:val="nil"/>
                    <w:right w:val="nil"/>
                  </w:tcBorders>
                </w:tcPr>
                <w:p w14:paraId="0239D7EB" w14:textId="7E44C1A4" w:rsidR="009268A3" w:rsidRDefault="00384AAA" w:rsidP="00DE39C8">
                  <w:pPr>
                    <w:pStyle w:val="TableBullet1"/>
                    <w:framePr w:hSpace="181" w:wrap="around" w:vAnchor="text" w:hAnchor="page" w:x="8141" w:y="1"/>
                    <w:numPr>
                      <w:ilvl w:val="0"/>
                      <w:numId w:val="14"/>
                    </w:numPr>
                  </w:pPr>
                  <w:r>
                    <w:t xml:space="preserve">Senior </w:t>
                  </w:r>
                  <w:r w:rsidR="00927942">
                    <w:t>Secure Amortising Notes covenants require additional equity capital or asset divestment</w:t>
                  </w:r>
                  <w:r w:rsidR="00927942" w:rsidRPr="00210815">
                    <w:t xml:space="preserve"> </w:t>
                  </w:r>
                  <w:r w:rsidR="001F26AC" w:rsidRPr="00F21E4C">
                    <w:t xml:space="preserve"> </w:t>
                  </w:r>
                </w:p>
              </w:tc>
              <w:tc>
                <w:tcPr>
                  <w:tcW w:w="244" w:type="pct"/>
                  <w:gridSpan w:val="3"/>
                  <w:tcBorders>
                    <w:top w:val="nil"/>
                    <w:left w:val="nil"/>
                    <w:bottom w:val="nil"/>
                    <w:right w:val="nil"/>
                  </w:tcBorders>
                  <w:tcMar>
                    <w:top w:w="57" w:type="dxa"/>
                    <w:bottom w:w="57" w:type="dxa"/>
                  </w:tcMar>
                </w:tcPr>
                <w:p w14:paraId="001CF8F7" w14:textId="77777777" w:rsidR="002866D6" w:rsidRDefault="002866D6" w:rsidP="00DE39C8">
                  <w:pPr>
                    <w:pStyle w:val="TableBullet1"/>
                    <w:framePr w:hSpace="181" w:wrap="around" w:vAnchor="text" w:hAnchor="page" w:x="8141" w:y="1"/>
                    <w:numPr>
                      <w:ilvl w:val="0"/>
                      <w:numId w:val="4"/>
                    </w:numPr>
                  </w:pPr>
                </w:p>
              </w:tc>
            </w:tr>
            <w:tr w:rsidR="000B5962" w14:paraId="27340AFA" w14:textId="77777777" w:rsidTr="00A30625">
              <w:trPr>
                <w:gridAfter w:val="3"/>
                <w:wAfter w:w="199" w:type="pct"/>
              </w:trPr>
              <w:tc>
                <w:tcPr>
                  <w:tcW w:w="4801" w:type="pct"/>
                  <w:gridSpan w:val="3"/>
                  <w:tcBorders>
                    <w:top w:val="nil"/>
                    <w:left w:val="nil"/>
                    <w:bottom w:val="nil"/>
                    <w:right w:val="nil"/>
                  </w:tcBorders>
                </w:tcPr>
                <w:p w14:paraId="5C874B0E" w14:textId="77777777" w:rsidR="00DA7509" w:rsidRPr="00DE39C8" w:rsidRDefault="00DA7509" w:rsidP="00DE39C8">
                  <w:pPr>
                    <w:pStyle w:val="Caption"/>
                    <w:framePr w:hSpace="181" w:wrap="around" w:vAnchor="text" w:hAnchor="page" w:x="8141" w:y="1"/>
                    <w:ind w:left="-60"/>
                    <w:rPr>
                      <w:color w:val="FF0000"/>
                      <w:sz w:val="16"/>
                      <w:szCs w:val="16"/>
                    </w:rPr>
                  </w:pPr>
                  <w:r w:rsidRPr="00DE39C8">
                    <w:rPr>
                      <w:color w:val="FF0000"/>
                      <w:sz w:val="16"/>
                      <w:szCs w:val="16"/>
                    </w:rPr>
                    <w:t>Catalysts</w:t>
                  </w:r>
                </w:p>
                <w:p w14:paraId="4D573FB6" w14:textId="3AD5AE37" w:rsidR="000B5962" w:rsidRPr="00DE39C8" w:rsidRDefault="00A30625" w:rsidP="00DE39C8">
                  <w:pPr>
                    <w:pStyle w:val="TableBullet1"/>
                    <w:framePr w:hSpace="181" w:wrap="around" w:vAnchor="text" w:hAnchor="page" w:x="8141" w:y="1"/>
                    <w:numPr>
                      <w:ilvl w:val="0"/>
                      <w:numId w:val="9"/>
                    </w:numPr>
                    <w:spacing w:after="120"/>
                  </w:pPr>
                  <w:r w:rsidRPr="00DE39C8">
                    <w:t>Positive results from the Kincora drilling and evaluation programme</w:t>
                  </w:r>
                  <w:r w:rsidR="00ED0803" w:rsidRPr="00DE39C8">
                    <w:t xml:space="preserve"> </w:t>
                  </w:r>
                </w:p>
              </w:tc>
            </w:tr>
            <w:tr w:rsidR="000B5962" w:rsidRPr="000B02F7" w14:paraId="09553816" w14:textId="77777777" w:rsidTr="00A30625">
              <w:trPr>
                <w:gridAfter w:val="2"/>
                <w:wAfter w:w="118" w:type="pct"/>
              </w:trPr>
              <w:tc>
                <w:tcPr>
                  <w:tcW w:w="4585" w:type="pct"/>
                  <w:tcBorders>
                    <w:top w:val="nil"/>
                    <w:left w:val="nil"/>
                    <w:bottom w:val="nil"/>
                    <w:right w:val="nil"/>
                  </w:tcBorders>
                </w:tcPr>
                <w:p w14:paraId="1295D4D7" w14:textId="4B0CAA78" w:rsidR="000B5962" w:rsidRPr="00DE39C8" w:rsidRDefault="00A30625" w:rsidP="00DE39C8">
                  <w:pPr>
                    <w:pStyle w:val="TableBullet1"/>
                    <w:framePr w:hSpace="181" w:wrap="around" w:vAnchor="text" w:hAnchor="page" w:x="8141" w:y="1"/>
                    <w:numPr>
                      <w:ilvl w:val="0"/>
                      <w:numId w:val="9"/>
                    </w:numPr>
                  </w:pPr>
                  <w:r w:rsidRPr="00DE39C8">
                    <w:t>Definition and progress on the demerger proposal</w:t>
                  </w:r>
                  <w:r w:rsidR="00927942" w:rsidRPr="00DE39C8">
                    <w:t xml:space="preserve"> </w:t>
                  </w:r>
                  <w:r w:rsidR="00B54A70" w:rsidRPr="00DE39C8">
                    <w:t xml:space="preserve"> </w:t>
                  </w:r>
                </w:p>
              </w:tc>
              <w:tc>
                <w:tcPr>
                  <w:tcW w:w="297" w:type="pct"/>
                  <w:gridSpan w:val="3"/>
                  <w:tcBorders>
                    <w:top w:val="nil"/>
                    <w:left w:val="nil"/>
                    <w:bottom w:val="nil"/>
                    <w:right w:val="nil"/>
                  </w:tcBorders>
                  <w:tcMar>
                    <w:top w:w="57" w:type="dxa"/>
                    <w:bottom w:w="57" w:type="dxa"/>
                  </w:tcMar>
                </w:tcPr>
                <w:p w14:paraId="1913028A" w14:textId="69F77DD2" w:rsidR="000B5962" w:rsidRPr="000B02F7" w:rsidRDefault="00561F6C" w:rsidP="00DE39C8">
                  <w:pPr>
                    <w:pStyle w:val="TableTextRight"/>
                    <w:framePr w:hSpace="181" w:wrap="around" w:vAnchor="text" w:hAnchor="page" w:x="8141" w:y="1"/>
                    <w:rPr>
                      <w:szCs w:val="16"/>
                    </w:rPr>
                  </w:pPr>
                  <w:r>
                    <w:rPr>
                      <w:szCs w:val="16"/>
                    </w:rPr>
                    <w:t xml:space="preserve"> </w:t>
                  </w:r>
                </w:p>
              </w:tc>
            </w:tr>
            <w:tr w:rsidR="005F0960" w14:paraId="21627CD8" w14:textId="77777777" w:rsidTr="00A30625">
              <w:tc>
                <w:tcPr>
                  <w:tcW w:w="4801" w:type="pct"/>
                  <w:gridSpan w:val="3"/>
                  <w:tcBorders>
                    <w:top w:val="nil"/>
                    <w:left w:val="nil"/>
                    <w:bottom w:val="nil"/>
                    <w:right w:val="nil"/>
                  </w:tcBorders>
                </w:tcPr>
                <w:p w14:paraId="464A2CE9" w14:textId="25F6573F" w:rsidR="005F0960" w:rsidRPr="00606EA3" w:rsidRDefault="005F0960" w:rsidP="00DE39C8">
                  <w:pPr>
                    <w:pStyle w:val="Caption"/>
                    <w:framePr w:hSpace="181" w:wrap="around" w:vAnchor="text" w:hAnchor="page" w:x="8141" w:y="1"/>
                    <w:ind w:left="0"/>
                    <w:rPr>
                      <w:color w:val="FF0000"/>
                      <w:sz w:val="16"/>
                      <w:szCs w:val="16"/>
                    </w:rPr>
                  </w:pPr>
                  <w:r>
                    <w:rPr>
                      <w:color w:val="FF0000"/>
                      <w:sz w:val="16"/>
                      <w:szCs w:val="16"/>
                    </w:rPr>
                    <w:t>Company contact</w:t>
                  </w:r>
                </w:p>
                <w:p w14:paraId="1F0A7009" w14:textId="7FAAE039" w:rsidR="00BC1DDE" w:rsidRDefault="00927942" w:rsidP="00DE39C8">
                  <w:pPr>
                    <w:pStyle w:val="TableBullet1"/>
                    <w:framePr w:hSpace="181" w:wrap="around" w:vAnchor="text" w:hAnchor="page" w:x="8141" w:y="1"/>
                    <w:numPr>
                      <w:ilvl w:val="0"/>
                      <w:numId w:val="0"/>
                    </w:numPr>
                    <w:ind w:left="170" w:hanging="170"/>
                  </w:pPr>
                  <w:r>
                    <w:t>Brad Lingo</w:t>
                  </w:r>
                  <w:r w:rsidR="00436A08">
                    <w:t xml:space="preserve"> (CEO</w:t>
                  </w:r>
                  <w:r w:rsidR="00A30625">
                    <w:t>)</w:t>
                  </w:r>
                  <w:r w:rsidR="00A30625">
                    <w:tab/>
                  </w:r>
                  <w:r w:rsidR="005F0960">
                    <w:t xml:space="preserve"> +</w:t>
                  </w:r>
                  <w:r w:rsidR="00A30625">
                    <w:t xml:space="preserve">           </w:t>
                  </w:r>
                  <w:r w:rsidR="00BC1DDE">
                    <w:t xml:space="preserve">61 </w:t>
                  </w:r>
                  <w:r w:rsidR="0031632C">
                    <w:t>7 3303 0620</w:t>
                  </w:r>
                </w:p>
                <w:p w14:paraId="1A3545C4" w14:textId="57DDC082" w:rsidR="00830188" w:rsidRDefault="0031632C" w:rsidP="00DE39C8">
                  <w:pPr>
                    <w:pStyle w:val="TableBullet1"/>
                    <w:framePr w:hSpace="181" w:wrap="around" w:vAnchor="text" w:hAnchor="page" w:x="8141" w:y="1"/>
                    <w:numPr>
                      <w:ilvl w:val="0"/>
                      <w:numId w:val="0"/>
                    </w:numPr>
                    <w:spacing w:before="120"/>
                    <w:ind w:left="170" w:hanging="170"/>
                  </w:pPr>
                  <w:r>
                    <w:t>blingo@armourenergy.com.au</w:t>
                  </w:r>
                </w:p>
                <w:p w14:paraId="4A7DC02B" w14:textId="1277D50E" w:rsidR="00830188" w:rsidRDefault="00830188" w:rsidP="00DE39C8">
                  <w:pPr>
                    <w:pStyle w:val="TableBullet1"/>
                    <w:framePr w:hSpace="181" w:wrap="around" w:vAnchor="text" w:hAnchor="page" w:x="8141" w:y="1"/>
                    <w:numPr>
                      <w:ilvl w:val="0"/>
                      <w:numId w:val="0"/>
                    </w:numPr>
                    <w:ind w:left="170" w:hanging="170"/>
                  </w:pPr>
                </w:p>
              </w:tc>
              <w:tc>
                <w:tcPr>
                  <w:tcW w:w="199" w:type="pct"/>
                  <w:gridSpan w:val="3"/>
                  <w:tcBorders>
                    <w:top w:val="nil"/>
                    <w:left w:val="nil"/>
                    <w:bottom w:val="nil"/>
                    <w:right w:val="nil"/>
                  </w:tcBorders>
                </w:tcPr>
                <w:p w14:paraId="068B199E" w14:textId="7B57414F" w:rsidR="005F0960" w:rsidRDefault="005F0960" w:rsidP="00DE39C8">
                  <w:pPr>
                    <w:pStyle w:val="TableBullet1"/>
                    <w:framePr w:hSpace="181" w:wrap="around" w:vAnchor="text" w:hAnchor="page" w:x="8141" w:y="1"/>
                    <w:numPr>
                      <w:ilvl w:val="0"/>
                      <w:numId w:val="0"/>
                    </w:numPr>
                    <w:ind w:left="170" w:hanging="170"/>
                  </w:pPr>
                </w:p>
              </w:tc>
            </w:tr>
          </w:tbl>
          <w:p w14:paraId="5A5C3805" w14:textId="1F3D36A7" w:rsidR="003D33EB" w:rsidRPr="00606EA3" w:rsidRDefault="003D33EB" w:rsidP="003D33EB">
            <w:pPr>
              <w:pStyle w:val="Caption"/>
              <w:rPr>
                <w:color w:val="FF0000"/>
                <w:sz w:val="16"/>
                <w:szCs w:val="16"/>
              </w:rPr>
            </w:pPr>
            <w:r w:rsidRPr="00606EA3">
              <w:rPr>
                <w:color w:val="FF0000"/>
                <w:sz w:val="16"/>
                <w:szCs w:val="16"/>
              </w:rPr>
              <w:t xml:space="preserve">RaaS Advisory </w:t>
            </w:r>
            <w:r w:rsidR="00734677">
              <w:rPr>
                <w:color w:val="FF0000"/>
                <w:sz w:val="16"/>
                <w:szCs w:val="16"/>
              </w:rPr>
              <w:t>contact</w:t>
            </w:r>
          </w:p>
          <w:tbl>
            <w:tblPr>
              <w:tblStyle w:val="TableGrid"/>
              <w:tblW w:w="3285" w:type="dxa"/>
              <w:tblLayout w:type="fixed"/>
              <w:tblCellMar>
                <w:left w:w="57" w:type="dxa"/>
                <w:right w:w="57" w:type="dxa"/>
              </w:tblCellMar>
              <w:tblLook w:val="04A0" w:firstRow="1" w:lastRow="0" w:firstColumn="1" w:lastColumn="0" w:noHBand="0" w:noVBand="1"/>
            </w:tblPr>
            <w:tblGrid>
              <w:gridCol w:w="1216"/>
              <w:gridCol w:w="2069"/>
            </w:tblGrid>
            <w:tr w:rsidR="00466351" w14:paraId="50A82B43" w14:textId="77777777" w:rsidTr="009427EF">
              <w:tc>
                <w:tcPr>
                  <w:tcW w:w="1851" w:type="pct"/>
                  <w:tcBorders>
                    <w:top w:val="nil"/>
                    <w:left w:val="nil"/>
                    <w:bottom w:val="nil"/>
                    <w:right w:val="nil"/>
                  </w:tcBorders>
                  <w:tcMar>
                    <w:top w:w="57" w:type="dxa"/>
                    <w:bottom w:w="57" w:type="dxa"/>
                  </w:tcMar>
                </w:tcPr>
                <w:p w14:paraId="6220597C" w14:textId="17CD85BC" w:rsidR="00466351" w:rsidRPr="001E0027" w:rsidRDefault="00466351" w:rsidP="00DE39C8">
                  <w:pPr>
                    <w:pStyle w:val="TableTextLeft"/>
                    <w:framePr w:hSpace="181" w:wrap="around" w:vAnchor="text" w:hAnchor="page" w:x="8141" w:y="1"/>
                  </w:pPr>
                  <w:r>
                    <w:t>Andrew Williams</w:t>
                  </w:r>
                </w:p>
              </w:tc>
              <w:tc>
                <w:tcPr>
                  <w:tcW w:w="3149" w:type="pct"/>
                  <w:tcBorders>
                    <w:top w:val="nil"/>
                    <w:left w:val="nil"/>
                    <w:bottom w:val="nil"/>
                    <w:right w:val="nil"/>
                  </w:tcBorders>
                  <w:tcMar>
                    <w:top w:w="57" w:type="dxa"/>
                    <w:bottom w:w="57" w:type="dxa"/>
                  </w:tcMar>
                </w:tcPr>
                <w:p w14:paraId="750B617F" w14:textId="304A3200" w:rsidR="00466351" w:rsidRDefault="00466351" w:rsidP="00DE39C8">
                  <w:pPr>
                    <w:pStyle w:val="TableTextRight"/>
                    <w:framePr w:hSpace="181" w:wrap="around" w:vAnchor="text" w:hAnchor="page" w:x="8141" w:y="1"/>
                    <w:jc w:val="center"/>
                  </w:pPr>
                  <w:r>
                    <w:t xml:space="preserve">                   </w:t>
                  </w:r>
                  <w:r w:rsidRPr="007B29DD">
                    <w:t xml:space="preserve">+61 417 880 680 </w:t>
                  </w:r>
                  <w:r w:rsidRPr="007B29DD">
                    <w:rPr>
                      <w:szCs w:val="16"/>
                    </w:rPr>
                    <w:t>andrew.williams@raasgroup.com</w:t>
                  </w:r>
                </w:p>
              </w:tc>
            </w:tr>
          </w:tbl>
          <w:p w14:paraId="0DA27FC6" w14:textId="77777777" w:rsidR="009D5FC6" w:rsidRDefault="009D5FC6" w:rsidP="00C242F5"/>
          <w:p w14:paraId="5E90995B" w14:textId="35694F13" w:rsidR="00E4551C" w:rsidRPr="00C242F5" w:rsidRDefault="00E4551C" w:rsidP="00C242F5"/>
        </w:tc>
      </w:tr>
    </w:tbl>
    <w:bookmarkEnd w:id="0"/>
    <w:p w14:paraId="0CE0F1A1" w14:textId="53EDB0AA" w:rsidR="0002198C" w:rsidRPr="0002198C" w:rsidRDefault="009667D5" w:rsidP="00CD1B70">
      <w:pPr>
        <w:pStyle w:val="Heading2"/>
        <w:spacing w:before="0"/>
        <w:rPr>
          <w:sz w:val="40"/>
          <w:szCs w:val="40"/>
        </w:rPr>
      </w:pPr>
      <w:r>
        <w:rPr>
          <w:sz w:val="40"/>
          <w:szCs w:val="40"/>
        </w:rPr>
        <w:t>Armour Energy</w:t>
      </w:r>
    </w:p>
    <w:p w14:paraId="2CA27798" w14:textId="2DAF9A38" w:rsidR="007F0F77" w:rsidRPr="00DB34C7" w:rsidRDefault="00A30625" w:rsidP="00AF1BD7">
      <w:pPr>
        <w:pStyle w:val="Heading2"/>
        <w:spacing w:before="0"/>
        <w:rPr>
          <w:sz w:val="30"/>
          <w:szCs w:val="30"/>
        </w:rPr>
      </w:pPr>
      <w:r>
        <w:rPr>
          <w:sz w:val="30"/>
          <w:szCs w:val="30"/>
        </w:rPr>
        <w:t>Unlocking value</w:t>
      </w:r>
    </w:p>
    <w:p w14:paraId="3A666BD6" w14:textId="556F1F4E" w:rsidR="004C0DEE" w:rsidRPr="00592A52" w:rsidRDefault="00B252A1" w:rsidP="004C0DEE">
      <w:pPr>
        <w:pStyle w:val="IntroText"/>
        <w:pBdr>
          <w:left w:val="single" w:sz="8" w:space="0" w:color="EEECE1" w:themeColor="background2"/>
        </w:pBdr>
        <w:spacing w:after="0"/>
      </w:pPr>
      <w:r w:rsidRPr="008D7EAF">
        <w:t xml:space="preserve">Armour Energy Limited (AJQ.ASX) is a junior energy producer and explorer with assets across northern, southern and eastern Australia. The company has been listed on the ASX since April 2012. </w:t>
      </w:r>
      <w:r w:rsidR="00805096" w:rsidRPr="00DE39C8">
        <w:t>Armour is proposing a demerger and separate listing of its Northern basin</w:t>
      </w:r>
      <w:r w:rsidR="00210EF6" w:rsidRPr="00DE39C8">
        <w:t>s</w:t>
      </w:r>
      <w:r w:rsidR="00805096" w:rsidRPr="00DE39C8">
        <w:t xml:space="preserve"> oil and gas assets into a new company (McArthur Oil &amp; Gas Ltd) through an in-specie distribution to existing shareholders to be separately listed through an IPO and capital raising in late-2021. The key aims are to “…unlock unrecognised value” whilst independently financing both AJQ and McArthur to pursue and accelerate the commercial opportunities inherent in their respective portfolios.</w:t>
      </w:r>
    </w:p>
    <w:p w14:paraId="6245DFC0" w14:textId="77777777" w:rsidR="00A369FA" w:rsidRPr="0031632C" w:rsidRDefault="007C71D7" w:rsidP="000B2D54">
      <w:pPr>
        <w:pStyle w:val="Heading2"/>
        <w:spacing w:before="0" w:after="0"/>
        <w:rPr>
          <w:rFonts w:ascii="Calibri" w:hAnsi="Calibri" w:cs="Calibri"/>
        </w:rPr>
      </w:pPr>
      <w:bookmarkStart w:id="3" w:name="_Toc10390644"/>
      <w:r w:rsidRPr="0031632C">
        <w:rPr>
          <w:rFonts w:ascii="Calibri" w:hAnsi="Calibri" w:cs="Calibri"/>
        </w:rPr>
        <w:t>Business model</w:t>
      </w:r>
      <w:bookmarkEnd w:id="3"/>
    </w:p>
    <w:p w14:paraId="7A942F63" w14:textId="77777777" w:rsidR="00567265" w:rsidRPr="00567265" w:rsidRDefault="00240FB9" w:rsidP="00805096">
      <w:pPr>
        <w:spacing w:after="120" w:line="240" w:lineRule="auto"/>
        <w:rPr>
          <w:rFonts w:ascii="Calibri" w:hAnsi="Calibri" w:cs="Calibri"/>
          <w:sz w:val="18"/>
        </w:rPr>
      </w:pPr>
      <w:r w:rsidRPr="00240FB9">
        <w:rPr>
          <w:rFonts w:ascii="Calibri" w:hAnsi="Calibri" w:cs="Calibri"/>
          <w:sz w:val="18"/>
        </w:rPr>
        <w:t xml:space="preserve">Armour Energy is a junior oil and gas company holding a production base with expansion options; and an extensive exploration portfolio across three Australian states, dominantly focussed on exploring for gas. The portfolio consists of exploration plays, reflecting a mix of moderate risk and early exploration stage with transformational potential. The company is looking to leverage its production growth plan at Kincora to repair its balance sheet and service a more aggressive exploration strategy, without recourse to equity markets. Financing is always a concern at the </w:t>
      </w:r>
      <w:r w:rsidR="00567265" w:rsidRPr="00567265">
        <w:rPr>
          <w:rFonts w:ascii="Calibri" w:hAnsi="Calibri" w:cs="Calibri"/>
          <w:sz w:val="18"/>
        </w:rPr>
        <w:t xml:space="preserve">at the small end and the company’s high working interests provide options through partnering. </w:t>
      </w:r>
    </w:p>
    <w:p w14:paraId="08FDDDFA" w14:textId="44BC14C2" w:rsidR="00A91FFE" w:rsidRPr="0031632C" w:rsidRDefault="005D0E9B" w:rsidP="007607CB">
      <w:pPr>
        <w:pStyle w:val="Heading2"/>
        <w:spacing w:before="0" w:after="0"/>
        <w:rPr>
          <w:rFonts w:ascii="Calibri" w:hAnsi="Calibri" w:cs="Calibri"/>
        </w:rPr>
      </w:pPr>
      <w:r>
        <w:rPr>
          <w:rFonts w:ascii="Calibri" w:hAnsi="Calibri" w:cs="Calibri"/>
        </w:rPr>
        <w:t>Demerging can support price discovery</w:t>
      </w:r>
    </w:p>
    <w:p w14:paraId="3BEAAF4A" w14:textId="2EB8A051" w:rsidR="005D0E9B" w:rsidRPr="00DE39C8" w:rsidRDefault="00210EF6" w:rsidP="00805096">
      <w:pPr>
        <w:spacing w:after="120" w:line="240" w:lineRule="auto"/>
        <w:rPr>
          <w:sz w:val="18"/>
          <w:szCs w:val="18"/>
          <w:lang w:val="en-GB"/>
        </w:rPr>
      </w:pPr>
      <w:r w:rsidRPr="00DE39C8">
        <w:rPr>
          <w:sz w:val="18"/>
          <w:szCs w:val="18"/>
          <w:lang w:val="en-GB"/>
        </w:rPr>
        <w:t>Armour Energy is proposing to unlock the value of its asset base by demerging and separately listing its Northern basins assets into a new vehicle to be called McArthur Oil &amp; Gas Ltd through an in-specie distribution to shareholders and IPO. Existing AJQ shareholders will receive a minimum 33.35</w:t>
      </w:r>
      <w:r w:rsidR="00DE39C8">
        <w:rPr>
          <w:sz w:val="18"/>
          <w:szCs w:val="18"/>
          <w:lang w:val="en-GB"/>
        </w:rPr>
        <w:t>%</w:t>
      </w:r>
      <w:r w:rsidRPr="00DE39C8">
        <w:rPr>
          <w:sz w:val="18"/>
          <w:szCs w:val="18"/>
          <w:lang w:val="en-GB"/>
        </w:rPr>
        <w:t xml:space="preserve"> holding in the new company via a ‘return of capital’ and priority application for shares in the IPO. </w:t>
      </w:r>
    </w:p>
    <w:p w14:paraId="4889B6DE" w14:textId="4D57C9EF" w:rsidR="009B6405" w:rsidRPr="00DE39C8" w:rsidRDefault="00210EF6" w:rsidP="00805096">
      <w:pPr>
        <w:spacing w:after="120" w:line="240" w:lineRule="auto"/>
        <w:rPr>
          <w:sz w:val="18"/>
          <w:szCs w:val="18"/>
          <w:lang w:val="en-GB"/>
        </w:rPr>
      </w:pPr>
      <w:r w:rsidRPr="00DE39C8">
        <w:rPr>
          <w:sz w:val="18"/>
          <w:szCs w:val="18"/>
          <w:lang w:val="en-GB"/>
        </w:rPr>
        <w:t>Whilst asset diversification can be beneficial through providing meaningful growth options, in small energy companies with constrained capital resources, multiple plays can often lead to assets being effectively stranded for long periods, capping comparative valuations as the marginal investment dollar seeks leverage through cleaner and purer exposures to the desired play…in this case the northern basins including the McArthur-Beetaloo options, the cornerstone of the Federal Government’s gas lead economic recovery.</w:t>
      </w:r>
    </w:p>
    <w:p w14:paraId="029EBD65" w14:textId="25B94B37" w:rsidR="005D0E9B" w:rsidRPr="00A770EE" w:rsidRDefault="005D0E9B" w:rsidP="00805096">
      <w:pPr>
        <w:spacing w:after="120" w:line="240" w:lineRule="auto"/>
        <w:rPr>
          <w:sz w:val="18"/>
          <w:szCs w:val="18"/>
          <w:lang w:val="en-GB"/>
        </w:rPr>
      </w:pPr>
      <w:r w:rsidRPr="00DE39C8">
        <w:rPr>
          <w:sz w:val="18"/>
          <w:szCs w:val="18"/>
          <w:lang w:val="en-GB"/>
        </w:rPr>
        <w:t xml:space="preserve">The northern assets already host conventional discoveries at Glyde and Cow Lagoon, have a current portfolio of 193 leads and prospects with 4.3Tcf of Prospective Resource potential; and up to ~34Tcf and 1.2Bnb across the entire acreage spread. Demerging can also assist Armour by retiring </w:t>
      </w:r>
      <w:r w:rsidR="00B236AF" w:rsidRPr="00DE39C8">
        <w:rPr>
          <w:sz w:val="18"/>
          <w:szCs w:val="18"/>
          <w:lang w:val="en-GB"/>
        </w:rPr>
        <w:t>a significant portion (</w:t>
      </w:r>
      <w:r w:rsidRPr="00DE39C8">
        <w:rPr>
          <w:sz w:val="18"/>
          <w:szCs w:val="18"/>
          <w:lang w:val="en-GB"/>
        </w:rPr>
        <w:t>or all) of its existing debt. In this case separating the parts could realise a greater sum.</w:t>
      </w:r>
      <w:r>
        <w:rPr>
          <w:sz w:val="18"/>
          <w:szCs w:val="18"/>
          <w:lang w:val="en-GB"/>
        </w:rPr>
        <w:t xml:space="preserve"> </w:t>
      </w:r>
    </w:p>
    <w:p w14:paraId="0397C435" w14:textId="0BF27720" w:rsidR="004E57F4" w:rsidRPr="00BC1DDE" w:rsidRDefault="00DD0C5C" w:rsidP="00031705">
      <w:pPr>
        <w:pStyle w:val="Heading2"/>
        <w:spacing w:before="0" w:after="0"/>
        <w:rPr>
          <w:sz w:val="24"/>
          <w:szCs w:val="24"/>
        </w:rPr>
      </w:pPr>
      <w:r w:rsidRPr="001A168D">
        <w:rPr>
          <w:rFonts w:ascii="Calibri" w:hAnsi="Calibri" w:cs="Calibri"/>
        </w:rPr>
        <w:t>Valuation</w:t>
      </w:r>
    </w:p>
    <w:p w14:paraId="2AE12234" w14:textId="25BA3E03" w:rsidR="000F0041" w:rsidRDefault="005D0E9B" w:rsidP="00210EF6">
      <w:pPr>
        <w:spacing w:after="120" w:line="240" w:lineRule="auto"/>
        <w:rPr>
          <w:rFonts w:ascii="Calibri" w:hAnsi="Calibri" w:cs="Calibri"/>
          <w:sz w:val="18"/>
          <w:szCs w:val="18"/>
        </w:rPr>
      </w:pPr>
      <w:bookmarkStart w:id="4" w:name="_Hlk512246746"/>
      <w:r>
        <w:rPr>
          <w:sz w:val="18"/>
          <w:szCs w:val="18"/>
          <w:lang w:val="en-GB"/>
        </w:rPr>
        <w:t>We</w:t>
      </w:r>
      <w:r w:rsidR="00E51D82" w:rsidRPr="00E51D82">
        <w:rPr>
          <w:sz w:val="18"/>
          <w:szCs w:val="18"/>
          <w:lang w:val="en-GB"/>
        </w:rPr>
        <w:t xml:space="preserve"> assign a risked valuation of $131m (10cps) to AJQ</w:t>
      </w:r>
      <w:r>
        <w:rPr>
          <w:sz w:val="18"/>
          <w:szCs w:val="18"/>
          <w:lang w:val="en-GB"/>
        </w:rPr>
        <w:t>.</w:t>
      </w:r>
      <w:r w:rsidR="00E51D82" w:rsidRPr="00E51D82">
        <w:rPr>
          <w:sz w:val="18"/>
          <w:szCs w:val="18"/>
          <w:lang w:val="en-GB"/>
        </w:rPr>
        <w:t xml:space="preserve"> The reference share price (</w:t>
      </w:r>
      <w:r>
        <w:rPr>
          <w:sz w:val="18"/>
          <w:szCs w:val="18"/>
          <w:lang w:val="en-GB"/>
        </w:rPr>
        <w:t>4.1</w:t>
      </w:r>
      <w:r w:rsidR="00E51D82" w:rsidRPr="00E51D82">
        <w:rPr>
          <w:sz w:val="18"/>
          <w:szCs w:val="18"/>
          <w:lang w:val="en-GB"/>
        </w:rPr>
        <w:t xml:space="preserve">cps) </w:t>
      </w:r>
      <w:r w:rsidR="00DE39C8">
        <w:rPr>
          <w:sz w:val="18"/>
          <w:szCs w:val="18"/>
          <w:lang w:val="en-GB"/>
        </w:rPr>
        <w:t>in our view</w:t>
      </w:r>
      <w:r>
        <w:rPr>
          <w:sz w:val="18"/>
          <w:szCs w:val="18"/>
          <w:lang w:val="en-GB"/>
        </w:rPr>
        <w:t xml:space="preserve"> reflects the </w:t>
      </w:r>
      <w:r w:rsidR="00E51D82" w:rsidRPr="00E51D82">
        <w:rPr>
          <w:sz w:val="18"/>
          <w:szCs w:val="18"/>
          <w:lang w:val="en-GB"/>
        </w:rPr>
        <w:t xml:space="preserve">discount the </w:t>
      </w:r>
      <w:r>
        <w:rPr>
          <w:sz w:val="18"/>
          <w:szCs w:val="18"/>
          <w:lang w:val="en-GB"/>
        </w:rPr>
        <w:t xml:space="preserve">market is applying to the </w:t>
      </w:r>
      <w:r w:rsidR="00E51D82" w:rsidRPr="00E51D82">
        <w:rPr>
          <w:sz w:val="18"/>
          <w:szCs w:val="18"/>
          <w:lang w:val="en-GB"/>
        </w:rPr>
        <w:t xml:space="preserve">production growth </w:t>
      </w:r>
      <w:r>
        <w:rPr>
          <w:sz w:val="18"/>
          <w:szCs w:val="18"/>
          <w:lang w:val="en-GB"/>
        </w:rPr>
        <w:t>strategy</w:t>
      </w:r>
      <w:r w:rsidR="00E51D82" w:rsidRPr="00E51D82">
        <w:rPr>
          <w:sz w:val="18"/>
          <w:szCs w:val="18"/>
          <w:lang w:val="en-GB"/>
        </w:rPr>
        <w:t>, likely on financing and corporate risks</w:t>
      </w:r>
      <w:r>
        <w:rPr>
          <w:sz w:val="18"/>
          <w:szCs w:val="18"/>
          <w:lang w:val="en-GB"/>
        </w:rPr>
        <w:t>.</w:t>
      </w:r>
      <w:r w:rsidR="00E51D82" w:rsidRPr="00E51D82">
        <w:rPr>
          <w:sz w:val="18"/>
          <w:szCs w:val="18"/>
          <w:lang w:val="en-GB"/>
        </w:rPr>
        <w:t xml:space="preserve"> The company has a number of deliverable outcomes, particularly pertaining to Kincora production expansion that have the potential to re-rate market sentiment and crystallise asset values as ascribed</w:t>
      </w:r>
      <w:r>
        <w:rPr>
          <w:sz w:val="18"/>
          <w:szCs w:val="18"/>
          <w:lang w:val="en-GB"/>
        </w:rPr>
        <w:t>.</w:t>
      </w:r>
    </w:p>
    <w:bookmarkEnd w:id="4"/>
    <w:p w14:paraId="2B5EC8CD" w14:textId="77777777" w:rsidR="00DE6508" w:rsidRPr="00210EF6" w:rsidRDefault="00DE6508">
      <w:r w:rsidRPr="00210EF6">
        <w:br w:type="page"/>
      </w:r>
    </w:p>
    <w:p w14:paraId="17F9AC62" w14:textId="43E7B6DB" w:rsidR="004124A6" w:rsidRPr="00436986" w:rsidRDefault="004124A6" w:rsidP="004124A6">
      <w:pPr>
        <w:jc w:val="center"/>
        <w:rPr>
          <w:sz w:val="44"/>
          <w:szCs w:val="44"/>
        </w:rPr>
      </w:pPr>
      <w:r w:rsidRPr="00436986">
        <w:rPr>
          <w:sz w:val="44"/>
          <w:szCs w:val="44"/>
        </w:rPr>
        <w:lastRenderedPageBreak/>
        <w:t>FINANCIAL SERVICES GUIDE</w:t>
      </w:r>
    </w:p>
    <w:p w14:paraId="6056F328" w14:textId="77777777" w:rsidR="004124A6" w:rsidRDefault="004124A6" w:rsidP="004124A6">
      <w:pPr>
        <w:spacing w:after="21"/>
        <w:jc w:val="center"/>
      </w:pPr>
    </w:p>
    <w:p w14:paraId="02BB3148" w14:textId="77777777" w:rsidR="004124A6" w:rsidRDefault="004124A6" w:rsidP="004124A6">
      <w:pPr>
        <w:spacing w:after="21"/>
        <w:jc w:val="center"/>
      </w:pPr>
    </w:p>
    <w:p w14:paraId="625E5246" w14:textId="77777777" w:rsidR="004124A6" w:rsidRDefault="004124A6" w:rsidP="004124A6">
      <w:pPr>
        <w:spacing w:after="21"/>
        <w:jc w:val="center"/>
      </w:pPr>
    </w:p>
    <w:p w14:paraId="57872D55" w14:textId="77777777" w:rsidR="004124A6" w:rsidRDefault="004124A6" w:rsidP="004124A6">
      <w:pPr>
        <w:spacing w:after="21"/>
        <w:ind w:left="-5"/>
        <w:jc w:val="center"/>
        <w:rPr>
          <w:sz w:val="32"/>
          <w:szCs w:val="32"/>
        </w:rPr>
      </w:pPr>
      <w:r>
        <w:rPr>
          <w:sz w:val="32"/>
          <w:szCs w:val="32"/>
        </w:rPr>
        <w:t>RaaS Advisory Pty Ltd</w:t>
      </w:r>
    </w:p>
    <w:p w14:paraId="77E307EB" w14:textId="77777777" w:rsidR="004124A6" w:rsidRDefault="004124A6" w:rsidP="004124A6">
      <w:pPr>
        <w:tabs>
          <w:tab w:val="center" w:pos="4635"/>
          <w:tab w:val="left" w:pos="8348"/>
        </w:tabs>
        <w:spacing w:after="21"/>
        <w:ind w:left="-5"/>
        <w:jc w:val="center"/>
        <w:rPr>
          <w:sz w:val="32"/>
          <w:szCs w:val="32"/>
        </w:rPr>
      </w:pPr>
      <w:r>
        <w:rPr>
          <w:sz w:val="32"/>
          <w:szCs w:val="32"/>
        </w:rPr>
        <w:t>ABN 99 614 783 363</w:t>
      </w:r>
    </w:p>
    <w:p w14:paraId="5BB3ADBE" w14:textId="77777777" w:rsidR="004124A6" w:rsidRDefault="004124A6" w:rsidP="004124A6">
      <w:pPr>
        <w:spacing w:after="21"/>
        <w:ind w:left="-5"/>
        <w:jc w:val="center"/>
        <w:rPr>
          <w:sz w:val="32"/>
          <w:szCs w:val="32"/>
        </w:rPr>
      </w:pPr>
      <w:r>
        <w:rPr>
          <w:sz w:val="32"/>
          <w:szCs w:val="32"/>
        </w:rPr>
        <w:t>Corporate Authorised Representative, number 1248415</w:t>
      </w:r>
    </w:p>
    <w:p w14:paraId="171D371B" w14:textId="77777777" w:rsidR="004124A6" w:rsidRDefault="004124A6" w:rsidP="004124A6">
      <w:pPr>
        <w:spacing w:after="21"/>
        <w:ind w:left="-5"/>
        <w:jc w:val="center"/>
        <w:rPr>
          <w:sz w:val="28"/>
          <w:szCs w:val="28"/>
        </w:rPr>
      </w:pPr>
    </w:p>
    <w:p w14:paraId="56D7BB8F" w14:textId="77777777" w:rsidR="004124A6" w:rsidRDefault="004124A6" w:rsidP="004124A6">
      <w:pPr>
        <w:spacing w:after="21"/>
        <w:ind w:left="-5"/>
        <w:jc w:val="center"/>
        <w:rPr>
          <w:sz w:val="28"/>
          <w:szCs w:val="28"/>
        </w:rPr>
      </w:pPr>
      <w:r>
        <w:rPr>
          <w:sz w:val="28"/>
          <w:szCs w:val="28"/>
        </w:rPr>
        <w:t>of</w:t>
      </w:r>
    </w:p>
    <w:p w14:paraId="2D4331FF" w14:textId="77777777" w:rsidR="004124A6" w:rsidRDefault="004124A6" w:rsidP="004124A6">
      <w:pPr>
        <w:spacing w:after="21"/>
        <w:ind w:left="-5"/>
        <w:jc w:val="center"/>
        <w:rPr>
          <w:sz w:val="32"/>
          <w:szCs w:val="32"/>
        </w:rPr>
      </w:pPr>
    </w:p>
    <w:p w14:paraId="05E1BD56" w14:textId="77777777" w:rsidR="004124A6" w:rsidRDefault="004124A6" w:rsidP="004124A6">
      <w:pPr>
        <w:spacing w:after="21"/>
        <w:ind w:left="-5"/>
        <w:jc w:val="center"/>
        <w:rPr>
          <w:sz w:val="32"/>
          <w:szCs w:val="32"/>
        </w:rPr>
      </w:pPr>
      <w:r>
        <w:rPr>
          <w:sz w:val="32"/>
          <w:szCs w:val="32"/>
        </w:rPr>
        <w:t>BR SECURITIES AUSTRALIA PTY LTD</w:t>
      </w:r>
    </w:p>
    <w:p w14:paraId="40293A79" w14:textId="77777777" w:rsidR="004124A6" w:rsidRDefault="004124A6" w:rsidP="004124A6">
      <w:pPr>
        <w:tabs>
          <w:tab w:val="center" w:pos="1502"/>
        </w:tabs>
        <w:spacing w:after="28"/>
        <w:ind w:left="-15"/>
        <w:jc w:val="center"/>
        <w:rPr>
          <w:sz w:val="32"/>
          <w:szCs w:val="32"/>
        </w:rPr>
      </w:pPr>
      <w:r>
        <w:rPr>
          <w:sz w:val="32"/>
          <w:szCs w:val="32"/>
        </w:rPr>
        <w:t>ABN</w:t>
      </w:r>
      <w:r>
        <w:rPr>
          <w:sz w:val="32"/>
          <w:szCs w:val="32"/>
        </w:rPr>
        <w:tab/>
        <w:t xml:space="preserve"> 92 168 734 530</w:t>
      </w:r>
    </w:p>
    <w:p w14:paraId="08B51092" w14:textId="77777777" w:rsidR="004124A6" w:rsidRDefault="004124A6" w:rsidP="004124A6">
      <w:pPr>
        <w:spacing w:after="21"/>
        <w:ind w:left="-5"/>
        <w:jc w:val="center"/>
        <w:rPr>
          <w:sz w:val="32"/>
          <w:szCs w:val="32"/>
        </w:rPr>
      </w:pPr>
      <w:r>
        <w:rPr>
          <w:sz w:val="32"/>
          <w:szCs w:val="32"/>
        </w:rPr>
        <w:t>AFSL 456663</w:t>
      </w:r>
    </w:p>
    <w:p w14:paraId="25497800" w14:textId="77777777" w:rsidR="004124A6" w:rsidRDefault="004124A6" w:rsidP="004124A6">
      <w:pPr>
        <w:spacing w:after="21"/>
        <w:jc w:val="center"/>
      </w:pPr>
    </w:p>
    <w:p w14:paraId="0E8D4C01" w14:textId="77777777" w:rsidR="004124A6" w:rsidRDefault="004124A6" w:rsidP="004124A6">
      <w:pPr>
        <w:spacing w:after="21"/>
        <w:ind w:left="-5"/>
        <w:jc w:val="center"/>
      </w:pPr>
    </w:p>
    <w:p w14:paraId="5DA97816" w14:textId="77777777" w:rsidR="004124A6" w:rsidRDefault="004124A6" w:rsidP="004124A6">
      <w:pPr>
        <w:jc w:val="center"/>
        <w:rPr>
          <w:sz w:val="32"/>
          <w:szCs w:val="32"/>
        </w:rPr>
      </w:pPr>
    </w:p>
    <w:p w14:paraId="4970C6E6" w14:textId="77777777" w:rsidR="004124A6" w:rsidRDefault="004124A6" w:rsidP="004124A6">
      <w:pPr>
        <w:jc w:val="center"/>
        <w:rPr>
          <w:sz w:val="32"/>
          <w:szCs w:val="32"/>
        </w:rPr>
      </w:pPr>
    </w:p>
    <w:p w14:paraId="068B3668" w14:textId="77777777" w:rsidR="004124A6" w:rsidRDefault="004124A6" w:rsidP="004124A6">
      <w:pPr>
        <w:jc w:val="center"/>
        <w:rPr>
          <w:sz w:val="32"/>
          <w:szCs w:val="32"/>
        </w:rPr>
      </w:pPr>
    </w:p>
    <w:p w14:paraId="25B2E6E2" w14:textId="77777777" w:rsidR="004124A6" w:rsidRDefault="004124A6" w:rsidP="004124A6">
      <w:pPr>
        <w:jc w:val="center"/>
        <w:rPr>
          <w:sz w:val="32"/>
          <w:szCs w:val="32"/>
        </w:rPr>
      </w:pPr>
    </w:p>
    <w:p w14:paraId="5B50414B" w14:textId="77777777" w:rsidR="004124A6" w:rsidRDefault="004124A6" w:rsidP="004124A6">
      <w:pPr>
        <w:jc w:val="center"/>
        <w:rPr>
          <w:sz w:val="32"/>
          <w:szCs w:val="32"/>
        </w:rPr>
      </w:pPr>
    </w:p>
    <w:p w14:paraId="30E5C83E" w14:textId="77777777" w:rsidR="004124A6" w:rsidRDefault="004124A6" w:rsidP="004124A6">
      <w:pPr>
        <w:jc w:val="center"/>
        <w:rPr>
          <w:b/>
        </w:rPr>
      </w:pPr>
      <w:r>
        <w:rPr>
          <w:sz w:val="32"/>
          <w:szCs w:val="32"/>
        </w:rPr>
        <w:t>Effective Date:  26</w:t>
      </w:r>
      <w:r w:rsidRPr="00471E70">
        <w:rPr>
          <w:sz w:val="32"/>
          <w:szCs w:val="32"/>
          <w:vertAlign w:val="superscript"/>
        </w:rPr>
        <w:t>th</w:t>
      </w:r>
      <w:r>
        <w:rPr>
          <w:sz w:val="32"/>
          <w:szCs w:val="32"/>
        </w:rPr>
        <w:t xml:space="preserve"> November 2018</w:t>
      </w:r>
      <w:r>
        <w:rPr>
          <w:b/>
        </w:rPr>
        <w:br w:type="page"/>
      </w:r>
    </w:p>
    <w:p w14:paraId="7A3FBEDF" w14:textId="77777777" w:rsidR="004124A6" w:rsidRPr="004124A6" w:rsidRDefault="004124A6" w:rsidP="004124A6">
      <w:pPr>
        <w:spacing w:after="0" w:line="240" w:lineRule="auto"/>
        <w:ind w:left="-6" w:right="3799"/>
        <w:rPr>
          <w:b/>
          <w:sz w:val="16"/>
          <w:szCs w:val="16"/>
        </w:rPr>
      </w:pPr>
      <w:r w:rsidRPr="004124A6">
        <w:rPr>
          <w:b/>
          <w:color w:val="FF0000"/>
          <w:sz w:val="16"/>
          <w:szCs w:val="16"/>
        </w:rPr>
        <w:lastRenderedPageBreak/>
        <w:t>About Us</w:t>
      </w:r>
      <w:r w:rsidRPr="004124A6">
        <w:rPr>
          <w:b/>
          <w:color w:val="1155CC"/>
          <w:sz w:val="16"/>
          <w:szCs w:val="16"/>
        </w:rPr>
        <w:t xml:space="preserve"> </w:t>
      </w:r>
    </w:p>
    <w:p w14:paraId="7A8A74BB" w14:textId="77777777" w:rsidR="004124A6" w:rsidRPr="004124A6" w:rsidRDefault="004124A6" w:rsidP="004124A6">
      <w:pPr>
        <w:spacing w:line="240" w:lineRule="auto"/>
        <w:ind w:left="-5"/>
        <w:rPr>
          <w:sz w:val="16"/>
          <w:szCs w:val="16"/>
        </w:rPr>
      </w:pPr>
      <w:r w:rsidRPr="004124A6">
        <w:rPr>
          <w:sz w:val="16"/>
          <w:szCs w:val="16"/>
        </w:rPr>
        <w:t xml:space="preserve">BR Securities Australia Pty Ltd (BR) is the holder of Australian Financial Services License (“AFSL”) number 456663. RaaS Advisory Pty Ltd (RaaS) is an Authorised Representative (number 1248415) of BR. </w:t>
      </w:r>
    </w:p>
    <w:p w14:paraId="2CAD36BA" w14:textId="77777777" w:rsidR="004124A6" w:rsidRPr="004124A6" w:rsidRDefault="004124A6" w:rsidP="004124A6">
      <w:pPr>
        <w:spacing w:line="240" w:lineRule="auto"/>
        <w:rPr>
          <w:sz w:val="16"/>
          <w:szCs w:val="16"/>
        </w:rPr>
      </w:pPr>
      <w:r w:rsidRPr="004124A6">
        <w:rPr>
          <w:sz w:val="16"/>
          <w:szCs w:val="16"/>
        </w:rPr>
        <w:t xml:space="preserve">This Financial Service Guide (FSG) is designed to assist you in deciding whether to use RaaS’s services and includes such things as </w:t>
      </w:r>
    </w:p>
    <w:p w14:paraId="0C193CBD" w14:textId="77777777" w:rsidR="004124A6" w:rsidRPr="004124A6" w:rsidRDefault="004124A6" w:rsidP="004124A6">
      <w:pPr>
        <w:pStyle w:val="ListParagraph"/>
        <w:numPr>
          <w:ilvl w:val="0"/>
          <w:numId w:val="15"/>
        </w:numPr>
        <w:spacing w:before="0" w:after="111" w:line="240" w:lineRule="auto"/>
        <w:ind w:left="720"/>
        <w:rPr>
          <w:sz w:val="16"/>
          <w:szCs w:val="16"/>
        </w:rPr>
      </w:pPr>
      <w:r w:rsidRPr="004124A6">
        <w:rPr>
          <w:sz w:val="16"/>
          <w:szCs w:val="16"/>
        </w:rPr>
        <w:t>who we are</w:t>
      </w:r>
    </w:p>
    <w:p w14:paraId="3F3BD6DB" w14:textId="77777777" w:rsidR="004124A6" w:rsidRPr="004124A6" w:rsidRDefault="004124A6" w:rsidP="004124A6">
      <w:pPr>
        <w:pStyle w:val="ListParagraph"/>
        <w:numPr>
          <w:ilvl w:val="0"/>
          <w:numId w:val="15"/>
        </w:numPr>
        <w:spacing w:before="0" w:after="111" w:line="240" w:lineRule="auto"/>
        <w:ind w:left="720"/>
        <w:rPr>
          <w:sz w:val="16"/>
          <w:szCs w:val="16"/>
        </w:rPr>
      </w:pPr>
      <w:r w:rsidRPr="004124A6">
        <w:rPr>
          <w:sz w:val="16"/>
          <w:szCs w:val="16"/>
        </w:rPr>
        <w:t>our services</w:t>
      </w:r>
    </w:p>
    <w:p w14:paraId="75AE723C" w14:textId="77777777" w:rsidR="004124A6" w:rsidRPr="004124A6" w:rsidRDefault="004124A6" w:rsidP="004124A6">
      <w:pPr>
        <w:pStyle w:val="ListParagraph"/>
        <w:numPr>
          <w:ilvl w:val="0"/>
          <w:numId w:val="15"/>
        </w:numPr>
        <w:spacing w:before="0" w:after="111" w:line="240" w:lineRule="auto"/>
        <w:ind w:left="720"/>
        <w:rPr>
          <w:sz w:val="16"/>
          <w:szCs w:val="16"/>
        </w:rPr>
      </w:pPr>
      <w:r w:rsidRPr="004124A6">
        <w:rPr>
          <w:sz w:val="16"/>
          <w:szCs w:val="16"/>
        </w:rPr>
        <w:t>how we transact with you</w:t>
      </w:r>
    </w:p>
    <w:p w14:paraId="40617077" w14:textId="77777777" w:rsidR="004124A6" w:rsidRPr="004124A6" w:rsidRDefault="004124A6" w:rsidP="004124A6">
      <w:pPr>
        <w:pStyle w:val="ListParagraph"/>
        <w:numPr>
          <w:ilvl w:val="0"/>
          <w:numId w:val="15"/>
        </w:numPr>
        <w:spacing w:before="0" w:after="111" w:line="240" w:lineRule="auto"/>
        <w:ind w:left="720"/>
        <w:rPr>
          <w:sz w:val="16"/>
          <w:szCs w:val="16"/>
        </w:rPr>
      </w:pPr>
      <w:r w:rsidRPr="004124A6">
        <w:rPr>
          <w:sz w:val="16"/>
          <w:szCs w:val="16"/>
        </w:rPr>
        <w:t>how we are paid, and</w:t>
      </w:r>
    </w:p>
    <w:p w14:paraId="75246B0E" w14:textId="77777777" w:rsidR="004124A6" w:rsidRPr="004124A6" w:rsidRDefault="004124A6" w:rsidP="004124A6">
      <w:pPr>
        <w:pStyle w:val="ListParagraph"/>
        <w:numPr>
          <w:ilvl w:val="0"/>
          <w:numId w:val="15"/>
        </w:numPr>
        <w:spacing w:before="0" w:after="120" w:line="240" w:lineRule="auto"/>
        <w:ind w:left="720"/>
        <w:rPr>
          <w:sz w:val="16"/>
          <w:szCs w:val="16"/>
        </w:rPr>
      </w:pPr>
      <w:r w:rsidRPr="004124A6">
        <w:rPr>
          <w:sz w:val="16"/>
          <w:szCs w:val="16"/>
        </w:rPr>
        <w:t>complaint processes</w:t>
      </w:r>
    </w:p>
    <w:p w14:paraId="112BF286" w14:textId="77777777" w:rsidR="004124A6" w:rsidRPr="004124A6" w:rsidRDefault="004124A6" w:rsidP="004124A6">
      <w:pPr>
        <w:spacing w:line="240" w:lineRule="auto"/>
        <w:rPr>
          <w:sz w:val="16"/>
          <w:szCs w:val="16"/>
        </w:rPr>
      </w:pPr>
      <w:r w:rsidRPr="004124A6">
        <w:rPr>
          <w:sz w:val="16"/>
          <w:szCs w:val="16"/>
        </w:rPr>
        <w:t>Contact Details, BR and RaaS</w:t>
      </w:r>
    </w:p>
    <w:p w14:paraId="5E03AAA9" w14:textId="77777777" w:rsidR="004124A6" w:rsidRPr="004124A6" w:rsidRDefault="004124A6" w:rsidP="004124A6">
      <w:pPr>
        <w:spacing w:line="240" w:lineRule="auto"/>
        <w:ind w:left="-5"/>
        <w:rPr>
          <w:sz w:val="16"/>
          <w:szCs w:val="16"/>
        </w:rPr>
      </w:pPr>
      <w:r w:rsidRPr="004124A6">
        <w:rPr>
          <w:sz w:val="16"/>
          <w:szCs w:val="16"/>
        </w:rPr>
        <w:t xml:space="preserve">BR Head Office: Level 14, 344 Queen Street, Brisbane, QLD, 4000 </w:t>
      </w:r>
    </w:p>
    <w:p w14:paraId="4DB70723" w14:textId="77777777" w:rsidR="004124A6" w:rsidRPr="004124A6" w:rsidRDefault="004124A6" w:rsidP="004124A6">
      <w:pPr>
        <w:tabs>
          <w:tab w:val="center" w:pos="5163"/>
          <w:tab w:val="center" w:pos="9360"/>
        </w:tabs>
        <w:spacing w:line="240" w:lineRule="auto"/>
        <w:ind w:left="-15"/>
        <w:rPr>
          <w:sz w:val="16"/>
          <w:szCs w:val="16"/>
        </w:rPr>
      </w:pPr>
      <w:r w:rsidRPr="004124A6">
        <w:rPr>
          <w:sz w:val="16"/>
          <w:szCs w:val="16"/>
        </w:rPr>
        <w:t>RaaS. 20 Halls Road Arcadia, NSW 2159</w:t>
      </w:r>
    </w:p>
    <w:p w14:paraId="01999938" w14:textId="77777777" w:rsidR="004124A6" w:rsidRPr="004124A6" w:rsidRDefault="004124A6" w:rsidP="004124A6">
      <w:pPr>
        <w:tabs>
          <w:tab w:val="center" w:pos="5163"/>
          <w:tab w:val="center" w:pos="9360"/>
        </w:tabs>
        <w:spacing w:line="240" w:lineRule="auto"/>
        <w:ind w:left="-15"/>
        <w:rPr>
          <w:sz w:val="16"/>
          <w:szCs w:val="16"/>
        </w:rPr>
      </w:pPr>
      <w:r w:rsidRPr="004124A6">
        <w:rPr>
          <w:sz w:val="16"/>
          <w:szCs w:val="16"/>
        </w:rPr>
        <w:t>P: +61 414 354712</w:t>
      </w:r>
    </w:p>
    <w:p w14:paraId="7C97A21A" w14:textId="77777777" w:rsidR="004124A6" w:rsidRPr="004124A6" w:rsidRDefault="004124A6" w:rsidP="004124A6">
      <w:pPr>
        <w:tabs>
          <w:tab w:val="center" w:pos="5163"/>
          <w:tab w:val="center" w:pos="9360"/>
        </w:tabs>
        <w:spacing w:after="120" w:line="240" w:lineRule="auto"/>
        <w:ind w:left="-15"/>
        <w:rPr>
          <w:sz w:val="16"/>
          <w:szCs w:val="16"/>
        </w:rPr>
      </w:pPr>
      <w:r w:rsidRPr="004124A6">
        <w:rPr>
          <w:sz w:val="16"/>
          <w:szCs w:val="16"/>
        </w:rPr>
        <w:t>E: finola.burke@raasgroup.com</w:t>
      </w:r>
    </w:p>
    <w:p w14:paraId="6032B874" w14:textId="77777777" w:rsidR="004124A6" w:rsidRPr="004124A6" w:rsidRDefault="004124A6" w:rsidP="004124A6">
      <w:pPr>
        <w:tabs>
          <w:tab w:val="center" w:pos="5163"/>
          <w:tab w:val="center" w:pos="9360"/>
        </w:tabs>
        <w:spacing w:after="80" w:line="240" w:lineRule="auto"/>
        <w:ind w:left="-15"/>
        <w:rPr>
          <w:sz w:val="16"/>
          <w:szCs w:val="16"/>
        </w:rPr>
      </w:pPr>
      <w:r w:rsidRPr="004124A6">
        <w:rPr>
          <w:sz w:val="16"/>
          <w:szCs w:val="16"/>
        </w:rPr>
        <w:t>RaaS is the entity providing the authorised AFSL services to you as a retail or wholesale client.</w:t>
      </w:r>
      <w:r w:rsidRPr="004124A6">
        <w:rPr>
          <w:noProof/>
          <w:sz w:val="16"/>
          <w:szCs w:val="16"/>
        </w:rPr>
        <w:t xml:space="preserve"> </w:t>
      </w:r>
    </w:p>
    <w:p w14:paraId="14DB2D02" w14:textId="77777777" w:rsidR="004124A6" w:rsidRPr="004124A6" w:rsidRDefault="004124A6" w:rsidP="004124A6">
      <w:pPr>
        <w:tabs>
          <w:tab w:val="left" w:pos="0"/>
        </w:tabs>
        <w:spacing w:line="240" w:lineRule="auto"/>
        <w:ind w:right="2529"/>
        <w:rPr>
          <w:sz w:val="16"/>
          <w:szCs w:val="16"/>
        </w:rPr>
      </w:pPr>
      <w:r w:rsidRPr="004124A6">
        <w:rPr>
          <w:b/>
          <w:color w:val="FF0000"/>
          <w:sz w:val="16"/>
          <w:szCs w:val="16"/>
        </w:rPr>
        <w:t>What Financial Services are we authorised to provide?</w:t>
      </w:r>
      <w:r w:rsidRPr="004124A6">
        <w:rPr>
          <w:color w:val="1155CC"/>
          <w:sz w:val="16"/>
          <w:szCs w:val="16"/>
        </w:rPr>
        <w:t xml:space="preserve"> </w:t>
      </w:r>
      <w:r w:rsidRPr="004124A6">
        <w:rPr>
          <w:sz w:val="16"/>
          <w:szCs w:val="16"/>
        </w:rPr>
        <w:t xml:space="preserve">RaaS is  authorised to  </w:t>
      </w:r>
    </w:p>
    <w:p w14:paraId="375A6AA9" w14:textId="77777777" w:rsidR="004124A6" w:rsidRPr="004124A6" w:rsidRDefault="004124A6" w:rsidP="004124A6">
      <w:pPr>
        <w:pStyle w:val="ListParagraph"/>
        <w:numPr>
          <w:ilvl w:val="0"/>
          <w:numId w:val="15"/>
        </w:numPr>
        <w:tabs>
          <w:tab w:val="center" w:pos="360"/>
          <w:tab w:val="center" w:pos="4717"/>
        </w:tabs>
        <w:spacing w:before="0" w:line="240" w:lineRule="auto"/>
        <w:ind w:left="0" w:firstLine="0"/>
        <w:rPr>
          <w:sz w:val="16"/>
          <w:szCs w:val="16"/>
        </w:rPr>
      </w:pPr>
      <w:r w:rsidRPr="004124A6">
        <w:rPr>
          <w:sz w:val="16"/>
          <w:szCs w:val="16"/>
        </w:rPr>
        <w:t xml:space="preserve">provide general advice to retail and wholesale clients in relation to  </w:t>
      </w:r>
    </w:p>
    <w:p w14:paraId="22BAB36F" w14:textId="77777777" w:rsidR="004124A6" w:rsidRPr="004124A6" w:rsidRDefault="004124A6" w:rsidP="004124A6">
      <w:pPr>
        <w:pStyle w:val="ListParagraph"/>
        <w:numPr>
          <w:ilvl w:val="0"/>
          <w:numId w:val="15"/>
        </w:numPr>
        <w:spacing w:before="0" w:line="240" w:lineRule="auto"/>
        <w:ind w:left="1710"/>
        <w:rPr>
          <w:sz w:val="16"/>
          <w:szCs w:val="16"/>
        </w:rPr>
      </w:pPr>
      <w:r w:rsidRPr="004124A6">
        <w:rPr>
          <w:sz w:val="16"/>
          <w:szCs w:val="16"/>
        </w:rPr>
        <w:t>Securities</w:t>
      </w:r>
    </w:p>
    <w:p w14:paraId="6F825B39" w14:textId="77777777" w:rsidR="004124A6" w:rsidRPr="004124A6" w:rsidRDefault="004124A6" w:rsidP="004124A6">
      <w:pPr>
        <w:pStyle w:val="ListParagraph"/>
        <w:numPr>
          <w:ilvl w:val="0"/>
          <w:numId w:val="16"/>
        </w:numPr>
        <w:tabs>
          <w:tab w:val="center" w:pos="757"/>
          <w:tab w:val="center" w:pos="4292"/>
        </w:tabs>
        <w:spacing w:before="0" w:line="240" w:lineRule="auto"/>
        <w:rPr>
          <w:color w:val="auto"/>
          <w:sz w:val="16"/>
          <w:szCs w:val="16"/>
        </w:rPr>
      </w:pPr>
      <w:r w:rsidRPr="004124A6">
        <w:rPr>
          <w:color w:val="auto"/>
          <w:sz w:val="16"/>
          <w:szCs w:val="16"/>
        </w:rPr>
        <w:t>deal on behalf of retail and wholesale clients in relation to</w:t>
      </w:r>
    </w:p>
    <w:p w14:paraId="76F298DB" w14:textId="77777777" w:rsidR="004124A6" w:rsidRPr="004124A6" w:rsidRDefault="004124A6" w:rsidP="004124A6">
      <w:pPr>
        <w:pStyle w:val="ListParagraph"/>
        <w:numPr>
          <w:ilvl w:val="0"/>
          <w:numId w:val="16"/>
        </w:numPr>
        <w:tabs>
          <w:tab w:val="center" w:pos="4292"/>
        </w:tabs>
        <w:spacing w:before="0" w:line="240" w:lineRule="auto"/>
        <w:ind w:left="1710"/>
        <w:rPr>
          <w:color w:val="auto"/>
          <w:sz w:val="16"/>
          <w:szCs w:val="16"/>
        </w:rPr>
      </w:pPr>
      <w:r w:rsidRPr="004124A6">
        <w:rPr>
          <w:color w:val="auto"/>
          <w:sz w:val="16"/>
          <w:szCs w:val="16"/>
        </w:rPr>
        <w:t>Securities</w:t>
      </w:r>
    </w:p>
    <w:p w14:paraId="53DF1333" w14:textId="77777777" w:rsidR="004124A6" w:rsidRPr="004124A6" w:rsidRDefault="004124A6" w:rsidP="004124A6">
      <w:pPr>
        <w:spacing w:line="240" w:lineRule="auto"/>
        <w:ind w:left="9" w:right="74"/>
        <w:rPr>
          <w:sz w:val="16"/>
          <w:szCs w:val="16"/>
        </w:rPr>
      </w:pPr>
      <w:r w:rsidRPr="004124A6">
        <w:rPr>
          <w:sz w:val="16"/>
          <w:szCs w:val="16"/>
        </w:rPr>
        <w:t xml:space="preserve">The distribution of this FSG by RaaS is authorized by BR. </w:t>
      </w:r>
    </w:p>
    <w:p w14:paraId="2FF07F4B" w14:textId="77777777" w:rsidR="004124A6" w:rsidRPr="004124A6" w:rsidRDefault="004124A6" w:rsidP="004124A6">
      <w:pPr>
        <w:spacing w:after="0" w:line="240" w:lineRule="auto"/>
        <w:ind w:left="-6" w:right="3799"/>
        <w:rPr>
          <w:b/>
          <w:color w:val="FF0000"/>
          <w:sz w:val="16"/>
          <w:szCs w:val="16"/>
        </w:rPr>
      </w:pPr>
      <w:r w:rsidRPr="004124A6">
        <w:rPr>
          <w:b/>
          <w:color w:val="FF0000"/>
          <w:sz w:val="16"/>
          <w:szCs w:val="16"/>
        </w:rPr>
        <w:t xml:space="preserve">Our general advice service </w:t>
      </w:r>
    </w:p>
    <w:p w14:paraId="38502C13" w14:textId="77777777" w:rsidR="004124A6" w:rsidRPr="004124A6" w:rsidRDefault="004124A6" w:rsidP="004124A6">
      <w:pPr>
        <w:spacing w:after="80" w:line="240" w:lineRule="auto"/>
        <w:ind w:left="-5"/>
        <w:rPr>
          <w:sz w:val="16"/>
          <w:szCs w:val="16"/>
        </w:rPr>
      </w:pPr>
      <w:r w:rsidRPr="004124A6">
        <w:rPr>
          <w:sz w:val="16"/>
          <w:szCs w:val="16"/>
        </w:rPr>
        <w:t>Please note that any advice given by RaaS is general advice, as the information or advice given will not take into account your particular objectives, financial situation or needs. You should, before acting on the advice, consider the appropriateness of the advice, having regard to your objectives, financial situation and needs.  If our advice relates to the acquisition, or possible acquisition, of a particular financial product you should read any relevant Prospectus, Product Disclosure Statement or like instrument.  As we only provide general advice we will not be providing a Statement of Advice.  We will provide you with recommendations on securities</w:t>
      </w:r>
    </w:p>
    <w:p w14:paraId="76B7A7D8" w14:textId="77777777" w:rsidR="004124A6" w:rsidRPr="004124A6" w:rsidRDefault="004124A6" w:rsidP="004124A6">
      <w:pPr>
        <w:spacing w:after="0" w:line="240" w:lineRule="auto"/>
        <w:ind w:left="-6" w:right="3799"/>
        <w:rPr>
          <w:b/>
          <w:sz w:val="16"/>
          <w:szCs w:val="16"/>
        </w:rPr>
      </w:pPr>
      <w:r w:rsidRPr="004124A6">
        <w:rPr>
          <w:b/>
          <w:color w:val="FF0000"/>
          <w:sz w:val="16"/>
          <w:szCs w:val="16"/>
        </w:rPr>
        <w:t>Our dealing service</w:t>
      </w:r>
      <w:r w:rsidRPr="004124A6">
        <w:rPr>
          <w:b/>
          <w:color w:val="1155CC"/>
          <w:sz w:val="16"/>
          <w:szCs w:val="16"/>
        </w:rPr>
        <w:t xml:space="preserve"> </w:t>
      </w:r>
    </w:p>
    <w:p w14:paraId="7EAF0C97" w14:textId="5CDF13EA" w:rsidR="004124A6" w:rsidRPr="004124A6" w:rsidRDefault="004124A6" w:rsidP="004124A6">
      <w:pPr>
        <w:spacing w:after="80" w:line="240" w:lineRule="auto"/>
        <w:ind w:left="9" w:right="74"/>
        <w:rPr>
          <w:sz w:val="16"/>
          <w:szCs w:val="16"/>
        </w:rPr>
      </w:pPr>
      <w:r w:rsidRPr="004124A6">
        <w:rPr>
          <w:sz w:val="16"/>
          <w:szCs w:val="16"/>
        </w:rPr>
        <w:t>RaaS can arrange for you to invest in securities issued under a prospectus by firstly sending you the offer document and then assisting you fill out the application f</w:t>
      </w:r>
      <w:r w:rsidR="00DC7CCD">
        <w:rPr>
          <w:sz w:val="16"/>
          <w:szCs w:val="16"/>
        </w:rPr>
        <w:t>or</w:t>
      </w:r>
      <w:r w:rsidRPr="004124A6">
        <w:rPr>
          <w:sz w:val="16"/>
          <w:szCs w:val="16"/>
        </w:rPr>
        <w:t xml:space="preserve">m if needed. </w:t>
      </w:r>
    </w:p>
    <w:p w14:paraId="1C82F844" w14:textId="77777777" w:rsidR="004124A6" w:rsidRPr="004124A6" w:rsidRDefault="004124A6" w:rsidP="004124A6">
      <w:pPr>
        <w:spacing w:after="0" w:line="240" w:lineRule="auto"/>
        <w:ind w:left="-6" w:right="3799"/>
        <w:rPr>
          <w:b/>
          <w:color w:val="FF0000"/>
          <w:sz w:val="16"/>
          <w:szCs w:val="16"/>
        </w:rPr>
      </w:pPr>
      <w:r w:rsidRPr="004124A6">
        <w:rPr>
          <w:b/>
          <w:color w:val="FF0000"/>
          <w:sz w:val="16"/>
          <w:szCs w:val="16"/>
        </w:rPr>
        <w:t xml:space="preserve">How are we paid? </w:t>
      </w:r>
    </w:p>
    <w:p w14:paraId="677B0279" w14:textId="77777777" w:rsidR="004124A6" w:rsidRPr="004124A6" w:rsidRDefault="004124A6" w:rsidP="004124A6">
      <w:pPr>
        <w:spacing w:line="240" w:lineRule="auto"/>
        <w:ind w:left="-5" w:right="15"/>
        <w:rPr>
          <w:sz w:val="16"/>
          <w:szCs w:val="16"/>
        </w:rPr>
      </w:pPr>
      <w:r w:rsidRPr="004124A6">
        <w:rPr>
          <w:sz w:val="16"/>
          <w:szCs w:val="16"/>
        </w:rPr>
        <w:t xml:space="preserve">RaaS earns fees for producing research reports. Sometimes these fees are from companies for producing research reports and/or a financial model. When the fee is derived from a company, this is clearly highlighted on the front page of the report and in the disclaimers and disclosures section of the report.  </w:t>
      </w:r>
    </w:p>
    <w:p w14:paraId="751AB784" w14:textId="77777777" w:rsidR="004124A6" w:rsidRPr="004124A6" w:rsidRDefault="004124A6" w:rsidP="004124A6">
      <w:pPr>
        <w:spacing w:after="80" w:line="240" w:lineRule="auto"/>
        <w:ind w:left="-5" w:right="15"/>
        <w:rPr>
          <w:color w:val="1155CC"/>
          <w:sz w:val="16"/>
          <w:szCs w:val="16"/>
        </w:rPr>
      </w:pPr>
      <w:r w:rsidRPr="004124A6">
        <w:rPr>
          <w:sz w:val="16"/>
          <w:szCs w:val="16"/>
        </w:rPr>
        <w:t>We may also receive a fee for our dealing service, from the company issuing the securities.</w:t>
      </w:r>
    </w:p>
    <w:p w14:paraId="1CFF41CF" w14:textId="77777777" w:rsidR="004124A6" w:rsidRPr="004124A6" w:rsidRDefault="004124A6" w:rsidP="004124A6">
      <w:pPr>
        <w:spacing w:after="0" w:line="240" w:lineRule="auto"/>
        <w:ind w:left="-6" w:right="3799"/>
        <w:rPr>
          <w:b/>
          <w:color w:val="1155CC"/>
          <w:sz w:val="16"/>
          <w:szCs w:val="16"/>
        </w:rPr>
      </w:pPr>
      <w:r w:rsidRPr="004124A6">
        <w:rPr>
          <w:b/>
          <w:color w:val="FF0000"/>
          <w:sz w:val="16"/>
          <w:szCs w:val="16"/>
        </w:rPr>
        <w:t>Associations and Relationships</w:t>
      </w:r>
      <w:r w:rsidRPr="004124A6">
        <w:rPr>
          <w:b/>
          <w:color w:val="1155CC"/>
          <w:sz w:val="16"/>
          <w:szCs w:val="16"/>
        </w:rPr>
        <w:t xml:space="preserve">  </w:t>
      </w:r>
    </w:p>
    <w:p w14:paraId="078C699C" w14:textId="77777777" w:rsidR="004124A6" w:rsidRPr="004124A6" w:rsidRDefault="004124A6" w:rsidP="004124A6">
      <w:pPr>
        <w:spacing w:after="80" w:line="240" w:lineRule="auto"/>
        <w:rPr>
          <w:sz w:val="16"/>
          <w:szCs w:val="16"/>
        </w:rPr>
      </w:pPr>
      <w:r w:rsidRPr="004124A6">
        <w:rPr>
          <w:sz w:val="16"/>
          <w:szCs w:val="16"/>
        </w:rPr>
        <w:t xml:space="preserve">BR, RaaS, its directors and related parties have no associations or relationships with any product issuers other than when advising retail clients to invest in managed funds when the managers of these funds may also be clients of BR. RaaS’s representatives may from </w:t>
      </w:r>
      <w:proofErr w:type="gramStart"/>
      <w:r w:rsidRPr="004124A6">
        <w:rPr>
          <w:sz w:val="16"/>
          <w:szCs w:val="16"/>
        </w:rPr>
        <w:t>time to time</w:t>
      </w:r>
      <w:proofErr w:type="gramEnd"/>
      <w:r w:rsidRPr="004124A6">
        <w:rPr>
          <w:sz w:val="16"/>
          <w:szCs w:val="16"/>
        </w:rPr>
        <w:t xml:space="preserve"> deal in or otherwise have a financial interest in financial products recommended to you but any material ownership will be disclosed to you when relevant advice is provided. </w:t>
      </w:r>
    </w:p>
    <w:p w14:paraId="30BC3D1F" w14:textId="77777777" w:rsidR="004124A6" w:rsidRPr="004124A6" w:rsidRDefault="004124A6" w:rsidP="004124A6">
      <w:pPr>
        <w:spacing w:after="0" w:line="240" w:lineRule="auto"/>
        <w:ind w:left="-6" w:right="3799"/>
        <w:rPr>
          <w:b/>
          <w:color w:val="FF0000"/>
          <w:sz w:val="16"/>
          <w:szCs w:val="16"/>
        </w:rPr>
      </w:pPr>
      <w:r w:rsidRPr="004124A6">
        <w:rPr>
          <w:b/>
          <w:color w:val="FF0000"/>
          <w:sz w:val="16"/>
          <w:szCs w:val="16"/>
        </w:rPr>
        <w:t xml:space="preserve">Complaints </w:t>
      </w:r>
    </w:p>
    <w:p w14:paraId="4081919F" w14:textId="77777777" w:rsidR="004124A6" w:rsidRPr="004124A6" w:rsidRDefault="004124A6" w:rsidP="004124A6">
      <w:pPr>
        <w:spacing w:line="240" w:lineRule="auto"/>
        <w:ind w:left="9" w:right="18"/>
        <w:rPr>
          <w:sz w:val="16"/>
          <w:szCs w:val="16"/>
        </w:rPr>
      </w:pPr>
      <w:r w:rsidRPr="004124A6">
        <w:rPr>
          <w:sz w:val="16"/>
          <w:szCs w:val="16"/>
        </w:rPr>
        <w:t xml:space="preserve">If you have a complaint about our service you should contact your representative and tell them about your complaint. </w:t>
      </w:r>
      <w:r w:rsidRPr="004124A6">
        <w:rPr>
          <w:rFonts w:ascii="Times New Roman" w:eastAsia="Times New Roman" w:hAnsi="Times New Roman" w:cs="Times New Roman"/>
          <w:sz w:val="16"/>
          <w:szCs w:val="16"/>
        </w:rPr>
        <w:t xml:space="preserve"> </w:t>
      </w:r>
      <w:r w:rsidRPr="004124A6">
        <w:rPr>
          <w:sz w:val="16"/>
          <w:szCs w:val="16"/>
        </w:rPr>
        <w:t>The representative will follow BR’s internal dispute resolution policy, which includes sending you a copy of the policy when required to.  If you aren’t satisfied with an outcome, you may contact AFCA, see below.</w:t>
      </w:r>
    </w:p>
    <w:p w14:paraId="45BC65EA" w14:textId="77777777" w:rsidR="004124A6" w:rsidRPr="004124A6" w:rsidRDefault="004124A6" w:rsidP="004124A6">
      <w:pPr>
        <w:spacing w:line="240" w:lineRule="auto"/>
        <w:ind w:left="20"/>
        <w:contextualSpacing/>
        <w:rPr>
          <w:sz w:val="16"/>
          <w:szCs w:val="16"/>
        </w:rPr>
      </w:pPr>
      <w:r w:rsidRPr="004124A6">
        <w:rPr>
          <w:sz w:val="16"/>
          <w:szCs w:val="16"/>
        </w:rPr>
        <w:t xml:space="preserve">BR is a member of the Australian Financial Complaints Authority (AFCA).  AFCA provide fair and independent financial services complaint resolution that is free to consumers. </w:t>
      </w:r>
    </w:p>
    <w:p w14:paraId="679EA416" w14:textId="77777777" w:rsidR="004124A6" w:rsidRPr="004124A6" w:rsidRDefault="004124A6" w:rsidP="004124A6">
      <w:pPr>
        <w:spacing w:after="120" w:line="240" w:lineRule="auto"/>
        <w:ind w:left="20"/>
        <w:contextualSpacing/>
        <w:rPr>
          <w:sz w:val="16"/>
          <w:szCs w:val="16"/>
        </w:rPr>
      </w:pPr>
      <w:r w:rsidRPr="004124A6">
        <w:rPr>
          <w:sz w:val="16"/>
          <w:szCs w:val="16"/>
        </w:rPr>
        <w:t xml:space="preserve"> </w:t>
      </w:r>
      <w:r w:rsidRPr="004124A6">
        <w:rPr>
          <w:sz w:val="16"/>
          <w:szCs w:val="16"/>
        </w:rPr>
        <w:tab/>
        <w:t xml:space="preserve">Website: </w:t>
      </w:r>
      <w:hyperlink r:id="rId9" w:history="1">
        <w:r w:rsidRPr="004124A6">
          <w:rPr>
            <w:sz w:val="16"/>
            <w:szCs w:val="16"/>
            <w:u w:val="single"/>
          </w:rPr>
          <w:t>www.afca.org.au</w:t>
        </w:r>
      </w:hyperlink>
      <w:r w:rsidRPr="004124A6">
        <w:rPr>
          <w:sz w:val="16"/>
          <w:szCs w:val="16"/>
          <w:u w:val="single"/>
        </w:rPr>
        <w:t xml:space="preserve">; </w:t>
      </w:r>
      <w:r w:rsidRPr="004124A6">
        <w:rPr>
          <w:sz w:val="16"/>
          <w:szCs w:val="16"/>
        </w:rPr>
        <w:t xml:space="preserve">Email: </w:t>
      </w:r>
      <w:hyperlink r:id="rId10" w:history="1">
        <w:r w:rsidRPr="004124A6">
          <w:rPr>
            <w:sz w:val="16"/>
            <w:szCs w:val="16"/>
            <w:u w:val="single"/>
          </w:rPr>
          <w:t>info@afca.org.au</w:t>
        </w:r>
      </w:hyperlink>
      <w:r w:rsidRPr="004124A6">
        <w:rPr>
          <w:color w:val="0000FF" w:themeColor="hyperlink"/>
          <w:sz w:val="16"/>
          <w:szCs w:val="16"/>
          <w:u w:val="single"/>
        </w:rPr>
        <w:t xml:space="preserve">; </w:t>
      </w:r>
      <w:r w:rsidRPr="004124A6">
        <w:rPr>
          <w:sz w:val="16"/>
          <w:szCs w:val="16"/>
        </w:rPr>
        <w:t>Telephone: 1800931678 (free call)</w:t>
      </w:r>
    </w:p>
    <w:p w14:paraId="4C09D747" w14:textId="77777777" w:rsidR="004124A6" w:rsidRPr="004124A6" w:rsidRDefault="004124A6" w:rsidP="004124A6">
      <w:pPr>
        <w:spacing w:line="240" w:lineRule="auto"/>
        <w:ind w:left="709"/>
        <w:contextualSpacing/>
        <w:rPr>
          <w:sz w:val="16"/>
          <w:szCs w:val="16"/>
        </w:rPr>
      </w:pPr>
      <w:r w:rsidRPr="004124A6">
        <w:rPr>
          <w:sz w:val="16"/>
          <w:szCs w:val="16"/>
        </w:rPr>
        <w:t>In writing to: Australian Financial Complaints Authority, GPO Box 3, Melbourne, VIC, 3001.</w:t>
      </w:r>
    </w:p>
    <w:p w14:paraId="30949F3A" w14:textId="77777777" w:rsidR="004124A6" w:rsidRPr="004124A6" w:rsidRDefault="004124A6" w:rsidP="004124A6">
      <w:pPr>
        <w:spacing w:after="0" w:line="240" w:lineRule="auto"/>
        <w:rPr>
          <w:b/>
          <w:color w:val="FF0000"/>
          <w:sz w:val="16"/>
          <w:szCs w:val="16"/>
        </w:rPr>
      </w:pPr>
    </w:p>
    <w:p w14:paraId="50AD4524" w14:textId="77777777" w:rsidR="004124A6" w:rsidRPr="004124A6" w:rsidRDefault="004124A6" w:rsidP="004124A6">
      <w:pPr>
        <w:spacing w:after="0" w:line="240" w:lineRule="auto"/>
        <w:rPr>
          <w:b/>
          <w:color w:val="FF0000"/>
          <w:sz w:val="16"/>
          <w:szCs w:val="16"/>
        </w:rPr>
      </w:pPr>
      <w:r w:rsidRPr="004124A6">
        <w:rPr>
          <w:b/>
          <w:color w:val="FF0000"/>
          <w:sz w:val="16"/>
          <w:szCs w:val="16"/>
        </w:rPr>
        <w:t xml:space="preserve">Professional Indemnity Insurance  </w:t>
      </w:r>
    </w:p>
    <w:p w14:paraId="22426473" w14:textId="77777777" w:rsidR="004124A6" w:rsidRPr="004124A6" w:rsidRDefault="004124A6" w:rsidP="004124A6">
      <w:pPr>
        <w:spacing w:line="240" w:lineRule="auto"/>
        <w:rPr>
          <w:b/>
          <w:color w:val="FF0000"/>
          <w:sz w:val="16"/>
          <w:szCs w:val="16"/>
        </w:rPr>
      </w:pPr>
      <w:r w:rsidRPr="004124A6">
        <w:rPr>
          <w:sz w:val="16"/>
          <w:szCs w:val="16"/>
        </w:rPr>
        <w:t xml:space="preserve">BR has in place Professional Indemnity Insurance which satisfies the requirements for compensation under s912B of the Corporations Act and that covers our authorized representatives. </w:t>
      </w:r>
    </w:p>
    <w:p w14:paraId="6814589B" w14:textId="77777777" w:rsidR="000C624E" w:rsidRDefault="000C624E"/>
    <w:p w14:paraId="6F98216D" w14:textId="77777777" w:rsidR="000C624E" w:rsidRDefault="000C624E"/>
    <w:p w14:paraId="3A473AC0" w14:textId="77777777" w:rsidR="000C624E" w:rsidRDefault="000C624E"/>
    <w:p w14:paraId="59A59DCF" w14:textId="77777777" w:rsidR="000C624E" w:rsidRDefault="000C624E"/>
    <w:p w14:paraId="41A3E1AB" w14:textId="77777777" w:rsidR="000C624E" w:rsidRDefault="000C624E"/>
    <w:p w14:paraId="4715444C" w14:textId="77777777" w:rsidR="000C624E" w:rsidRDefault="000C624E"/>
    <w:p w14:paraId="15E9F606" w14:textId="77777777" w:rsidR="000C624E" w:rsidRDefault="000C624E"/>
    <w:p w14:paraId="4B8FF28F" w14:textId="77777777" w:rsidR="000C624E" w:rsidRDefault="000C624E"/>
    <w:p w14:paraId="6C59427F" w14:textId="77777777" w:rsidR="000C624E" w:rsidRDefault="000C624E"/>
    <w:p w14:paraId="3758E737" w14:textId="77777777" w:rsidR="000C624E" w:rsidRDefault="000C624E"/>
    <w:p w14:paraId="68AB042B" w14:textId="77777777" w:rsidR="000C624E" w:rsidRDefault="000C624E"/>
    <w:p w14:paraId="03CBC1A3" w14:textId="77777777" w:rsidR="000C624E" w:rsidRDefault="000C624E"/>
    <w:p w14:paraId="3AD03FCA" w14:textId="77777777" w:rsidR="000C624E" w:rsidRDefault="000C624E"/>
    <w:p w14:paraId="622BFD5A" w14:textId="77777777" w:rsidR="000C624E" w:rsidRDefault="000C624E"/>
    <w:p w14:paraId="4CA33EC9" w14:textId="77777777" w:rsidR="004662F8" w:rsidRDefault="004662F8"/>
    <w:p w14:paraId="2DAC7DBC" w14:textId="77777777" w:rsidR="004662F8" w:rsidRDefault="004662F8"/>
    <w:p w14:paraId="4D607188" w14:textId="77777777" w:rsidR="000C624E" w:rsidRDefault="000C624E"/>
    <w:p w14:paraId="373E5D5E" w14:textId="77777777" w:rsidR="002F5E64" w:rsidRPr="00EF3EC5" w:rsidRDefault="002F5E64" w:rsidP="002F5E64">
      <w:pPr>
        <w:rPr>
          <w:sz w:val="16"/>
          <w:szCs w:val="16"/>
        </w:rPr>
      </w:pPr>
      <w:r w:rsidRPr="00EF3EC5">
        <w:rPr>
          <w:sz w:val="16"/>
          <w:szCs w:val="16"/>
        </w:rPr>
        <w:t>DISCLAIMERS and DISCLOSURES</w:t>
      </w:r>
    </w:p>
    <w:p w14:paraId="6E909E63" w14:textId="77777777" w:rsidR="002F5E64" w:rsidRPr="00EF3EC5" w:rsidRDefault="002F5E64" w:rsidP="002F5E64">
      <w:pPr>
        <w:rPr>
          <w:sz w:val="16"/>
          <w:szCs w:val="16"/>
        </w:rPr>
      </w:pPr>
      <w:r w:rsidRPr="00EF3EC5">
        <w:rPr>
          <w:sz w:val="16"/>
          <w:szCs w:val="16"/>
        </w:rPr>
        <w:t xml:space="preserve">This report has been commissioned </w:t>
      </w:r>
      <w:r>
        <w:rPr>
          <w:sz w:val="16"/>
          <w:szCs w:val="16"/>
        </w:rPr>
        <w:t>by Armour Energy</w:t>
      </w:r>
      <w:r w:rsidRPr="00EF3EC5">
        <w:rPr>
          <w:sz w:val="16"/>
          <w:szCs w:val="16"/>
        </w:rPr>
        <w:t xml:space="preserve"> Ltd prepared and issued by RaaS Advisory Pty Ltd. RaaS Advisory has been paid a fee to prepare this report. </w:t>
      </w:r>
      <w:r w:rsidRPr="00EF3EC5">
        <w:rPr>
          <w:sz w:val="16"/>
          <w:szCs w:val="16"/>
          <w:lang w:eastAsia="en-AU"/>
        </w:rPr>
        <w:t>RaaS Advisory’s principals, employees and associates may hold shares in companies that are covered and, if so, this will be clearly stated on the front page of each report.</w:t>
      </w:r>
      <w:r w:rsidRPr="00EF3EC5">
        <w:rPr>
          <w:sz w:val="16"/>
          <w:szCs w:val="16"/>
        </w:rPr>
        <w:t xml:space="preserve"> This research is issued in Australia by RaaS Advisory and any access to it should be read in conjunction with the Financial Services Guide on the preceding two pages. All information used in the publication of this report has been compiled from publicly available sources that are believed to be reliable. Opinions contained in this report represent those of the principals of RaaS Advisory at the time of publication. RaaS Advisory provides this financial advice as an honest and reasonable opinion held at a point in time about an investment’s risk profile and merit and the information is provided by the RaaS Advisory in good faith.  The views of the adviser(s) do not necessarily reflect the views of the AFS Licensee.  RaaS Advisory has no obligation to update the opinion unless RaaS Advisory is currently contracted to provide such an updated opinion. RaaS Advisory does not warrant the accuracy of any information it sources from others.  All statements as to future matters are not guaranteed to be accurate and any statements as to past performance do not represent future performance.  </w:t>
      </w:r>
    </w:p>
    <w:p w14:paraId="14DAA5F3" w14:textId="77777777" w:rsidR="00FC4F0E" w:rsidRPr="00CC1CD2" w:rsidRDefault="00FC4F0E" w:rsidP="00FC4F0E">
      <w:pPr>
        <w:spacing w:line="26" w:lineRule="atLeast"/>
        <w:rPr>
          <w:sz w:val="16"/>
          <w:szCs w:val="16"/>
        </w:rPr>
      </w:pPr>
      <w:r w:rsidRPr="00CC1CD2">
        <w:rPr>
          <w:sz w:val="16"/>
          <w:szCs w:val="16"/>
        </w:rPr>
        <w:t xml:space="preserve">Assessment of risk can be subjective. Portfolios of equity investments need to be well diversified and the risk appropriate for the investor. Equity investments in listed or unlisted companies yet to achieve a profit or with an equity value less than $50 million should collectively be a small component of a balanced portfolio, with smaller individual investment sizes than otherwise.  </w:t>
      </w:r>
    </w:p>
    <w:p w14:paraId="231D13DA" w14:textId="77777777" w:rsidR="00FC4F0E" w:rsidRPr="00CC1CD2" w:rsidRDefault="00FC4F0E" w:rsidP="00FC4F0E">
      <w:pPr>
        <w:spacing w:line="26" w:lineRule="atLeast"/>
        <w:rPr>
          <w:sz w:val="16"/>
          <w:szCs w:val="16"/>
        </w:rPr>
      </w:pPr>
      <w:r w:rsidRPr="00CC1CD2">
        <w:rPr>
          <w:sz w:val="16"/>
          <w:szCs w:val="16"/>
        </w:rPr>
        <w:t>The science of climate change is common knowledge and its impacts may damage the global economy.  Mitigating climate change may also disrupt the global economy.  Investors need to make their  own assessments and we disclaim any liability for the impact of either climate change or mitigating strategies on any investment we recommend.</w:t>
      </w:r>
    </w:p>
    <w:p w14:paraId="2D8F4AFE" w14:textId="77777777" w:rsidR="00FC4F0E" w:rsidRPr="00CC1CD2" w:rsidRDefault="00FC4F0E" w:rsidP="00FC4F0E">
      <w:pPr>
        <w:spacing w:line="26" w:lineRule="atLeast"/>
        <w:rPr>
          <w:sz w:val="16"/>
          <w:szCs w:val="16"/>
        </w:rPr>
      </w:pPr>
      <w:r w:rsidRPr="00CC1CD2">
        <w:rPr>
          <w:sz w:val="16"/>
          <w:szCs w:val="16"/>
        </w:rPr>
        <w:t>Investors are responsible for their own investment decisions, unless a contract stipulates otherwise.  RaaS Advisory does not stand behind the capital value or performance of any investment.  Subject to any terms implied by law and which cannot be excluded, RaaS Advisory shall not be liable for any errors, omissions, defects or misrepresentations in the information (including by reasons of negligence, negligent misstatement or otherwise) or for any loss or damage (whether direct or indirect) suffered by persons who use or rely on the information. If any law prohibits the exclusion of such liability, RaaS Advisory limits its liability to the re-supply of the Information, provided that such limitation is permitted by law and is fair and reasonable. Copyright 2021 RaaS Advisory Pty Ltd (A.B.N. 99 614 783 363). All rights reserved.</w:t>
      </w:r>
    </w:p>
    <w:p w14:paraId="0AE23964" w14:textId="0E7F72F6" w:rsidR="00155702" w:rsidRPr="001E6114" w:rsidRDefault="00313FA0" w:rsidP="00313FA0">
      <w:pPr>
        <w:tabs>
          <w:tab w:val="left" w:pos="4995"/>
        </w:tabs>
        <w:rPr>
          <w:rFonts w:ascii="Calibri" w:hAnsi="Calibri" w:cs="Calibri"/>
          <w:sz w:val="16"/>
          <w:szCs w:val="16"/>
        </w:rPr>
      </w:pPr>
      <w:r>
        <w:rPr>
          <w:rFonts w:ascii="Calibri" w:hAnsi="Calibri" w:cs="Calibri"/>
          <w:sz w:val="16"/>
          <w:szCs w:val="16"/>
        </w:rPr>
        <w:tab/>
      </w:r>
    </w:p>
    <w:sectPr w:rsidR="00155702" w:rsidRPr="001E6114" w:rsidSect="00C6248C">
      <w:headerReference w:type="default" r:id="rId11"/>
      <w:headerReference w:type="first" r:id="rId12"/>
      <w:footerReference w:type="first" r:id="rId13"/>
      <w:pgSz w:w="11906" w:h="16838"/>
      <w:pgMar w:top="1440" w:right="1440" w:bottom="1440" w:left="1440" w:header="113"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88BDC" w14:textId="77777777" w:rsidR="00415E51" w:rsidRDefault="00415E51" w:rsidP="009D5FC6">
      <w:pPr>
        <w:spacing w:after="0" w:line="240" w:lineRule="auto"/>
      </w:pPr>
      <w:r>
        <w:separator/>
      </w:r>
    </w:p>
  </w:endnote>
  <w:endnote w:type="continuationSeparator" w:id="0">
    <w:p w14:paraId="4FE48971" w14:textId="77777777" w:rsidR="00415E51" w:rsidRDefault="00415E51" w:rsidP="009D5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0A668" w14:textId="01665FD9" w:rsidR="00A9447C" w:rsidRDefault="00BA6F96">
    <w:pPr>
      <w:pStyle w:val="Footer"/>
    </w:pPr>
    <w:r>
      <w:rPr>
        <w:noProof/>
      </w:rPr>
      <mc:AlternateContent>
        <mc:Choice Requires="wps">
          <w:drawing>
            <wp:anchor distT="0" distB="0" distL="114300" distR="114300" simplePos="0" relativeHeight="251660288" behindDoc="0" locked="0" layoutInCell="1" allowOverlap="1" wp14:anchorId="4F77C918" wp14:editId="261C851A">
              <wp:simplePos x="0" y="0"/>
              <wp:positionH relativeFrom="page">
                <wp:align>right</wp:align>
              </wp:positionH>
              <wp:positionV relativeFrom="paragraph">
                <wp:posOffset>-136525</wp:posOffset>
              </wp:positionV>
              <wp:extent cx="7439025"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7439025" cy="266700"/>
                      </a:xfrm>
                      <a:prstGeom prst="rect">
                        <a:avLst/>
                      </a:prstGeom>
                      <a:noFill/>
                      <a:ln w="6350">
                        <a:noFill/>
                      </a:ln>
                    </wps:spPr>
                    <wps:txbx>
                      <w:txbxContent>
                        <w:p w14:paraId="1B8B8F47" w14:textId="2FC47032" w:rsidR="00BA6F96" w:rsidRPr="00466351" w:rsidRDefault="00466351" w:rsidP="00025A63">
                          <w:pPr>
                            <w:jc w:val="center"/>
                            <w:rPr>
                              <w:b/>
                              <w:sz w:val="18"/>
                              <w:szCs w:val="18"/>
                            </w:rPr>
                          </w:pPr>
                          <w:r w:rsidRPr="00466351">
                            <w:rPr>
                              <w:b/>
                              <w:sz w:val="18"/>
                              <w:szCs w:val="18"/>
                            </w:rPr>
                            <w:t>Armour Energy</w:t>
                          </w:r>
                          <w:r w:rsidR="00BA6F96" w:rsidRPr="00466351">
                            <w:rPr>
                              <w:b/>
                              <w:sz w:val="18"/>
                              <w:szCs w:val="18"/>
                            </w:rPr>
                            <w:t xml:space="preserve"> is a research client of RaaS Advisory. This report should be read in conjunction with the FSG and disclosures following this page.</w:t>
                          </w:r>
                          <w:r w:rsidR="0039048E" w:rsidRPr="00466351">
                            <w:rPr>
                              <w:b/>
                              <w:sz w:val="18"/>
                              <w:szCs w:val="18"/>
                            </w:rPr>
                            <w:t xml:space="preserve"> </w:t>
                          </w:r>
                        </w:p>
                        <w:p w14:paraId="2DAD1840" w14:textId="1ED7CD1B" w:rsidR="00BA6F96" w:rsidRDefault="00BA6F96">
                          <w:r w:rsidRPr="00BA6F96">
                            <w:t xml:space="preserve"> RAP 5-age.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77C918" id="_x0000_t202" coordsize="21600,21600" o:spt="202" path="m,l,21600r21600,l21600,xe">
              <v:stroke joinstyle="miter"/>
              <v:path gradientshapeok="t" o:connecttype="rect"/>
            </v:shapetype>
            <v:shape id="Text Box 7" o:spid="_x0000_s1028" type="#_x0000_t202" style="position:absolute;margin-left:534.55pt;margin-top:-10.75pt;width:585.75pt;height:21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" filled="f" stroked="f" strokeweight=".5pt">
              <v:textbox>
                <w:txbxContent>
                  <w:p w14:paraId="1B8B8F47" w14:textId="2FC47032" w:rsidR="00BA6F96" w:rsidRPr="00466351" w:rsidRDefault="00466351" w:rsidP="00025A63">
                    <w:pPr>
                      <w:jc w:val="center"/>
                      <w:rPr>
                        <w:b/>
                        <w:sz w:val="18"/>
                        <w:szCs w:val="18"/>
                      </w:rPr>
                    </w:pPr>
                    <w:r w:rsidRPr="00466351">
                      <w:rPr>
                        <w:b/>
                        <w:sz w:val="18"/>
                        <w:szCs w:val="18"/>
                      </w:rPr>
                      <w:t>Armour Energy</w:t>
                    </w:r>
                    <w:r w:rsidR="00BA6F96" w:rsidRPr="00466351">
                      <w:rPr>
                        <w:b/>
                        <w:sz w:val="18"/>
                        <w:szCs w:val="18"/>
                      </w:rPr>
                      <w:t xml:space="preserve"> is a research client of RaaS Advisory. This report should be read in conjunction with the FSG and disclosures following this page.</w:t>
                    </w:r>
                    <w:r w:rsidR="0039048E" w:rsidRPr="00466351">
                      <w:rPr>
                        <w:b/>
                        <w:sz w:val="18"/>
                        <w:szCs w:val="18"/>
                      </w:rPr>
                      <w:t xml:space="preserve"> </w:t>
                    </w:r>
                  </w:p>
                  <w:p w14:paraId="2DAD1840" w14:textId="1ED7CD1B" w:rsidR="00BA6F96" w:rsidRDefault="00BA6F96">
                    <w:r w:rsidRPr="00BA6F96">
                      <w:t xml:space="preserve"> RAP 5-age.</w:t>
                    </w:r>
                  </w:p>
                </w:txbxContent>
              </v:textbox>
              <w10:wrap anchorx="page"/>
            </v:shape>
          </w:pict>
        </mc:Fallback>
      </mc:AlternateContent>
    </w:r>
    <w:r w:rsidR="00E146D0">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4B9F6" w14:textId="77777777" w:rsidR="00415E51" w:rsidRDefault="00415E51" w:rsidP="009D5FC6">
      <w:pPr>
        <w:spacing w:after="0" w:line="240" w:lineRule="auto"/>
      </w:pPr>
      <w:r>
        <w:separator/>
      </w:r>
    </w:p>
  </w:footnote>
  <w:footnote w:type="continuationSeparator" w:id="0">
    <w:p w14:paraId="72B3DF33" w14:textId="77777777" w:rsidR="00415E51" w:rsidRDefault="00415E51" w:rsidP="009D5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FA786" w14:textId="77777777" w:rsidR="00160DAA" w:rsidRPr="00C242F5" w:rsidRDefault="000B5962" w:rsidP="000B5962">
    <w:pPr>
      <w:pStyle w:val="Header"/>
      <w:spacing w:after="0"/>
    </w:pPr>
    <w:r>
      <w:rPr>
        <w:b/>
        <w:noProof/>
        <w:color w:val="4BACC6" w:themeColor="accent5"/>
        <w:sz w:val="36"/>
        <w:szCs w:val="36"/>
        <w:lang w:val="en-US" w:bidi="he-IL"/>
      </w:rPr>
      <w:drawing>
        <wp:inline distT="0" distB="0" distL="0" distR="0" wp14:anchorId="62EEC874" wp14:editId="7D8CFD87">
          <wp:extent cx="1171575" cy="826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3613" cy="828432"/>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517B8" w14:textId="04E24356" w:rsidR="000C624E" w:rsidRPr="00155702" w:rsidRDefault="00582D07" w:rsidP="00BC6F98">
    <w:pPr>
      <w:pStyle w:val="Header"/>
      <w:jc w:val="both"/>
      <w:rPr>
        <w:b/>
        <w:color w:val="FF0000"/>
        <w:sz w:val="16"/>
        <w:szCs w:val="16"/>
      </w:rPr>
    </w:pPr>
    <w:r>
      <w:rPr>
        <w:b/>
        <w:noProof/>
        <w:color w:val="4BACC6" w:themeColor="accent5"/>
        <w:sz w:val="36"/>
        <w:szCs w:val="36"/>
        <w:lang w:val="en-US" w:bidi="he-IL"/>
      </w:rPr>
      <mc:AlternateContent>
        <mc:Choice Requires="wps">
          <w:drawing>
            <wp:anchor distT="0" distB="0" distL="114300" distR="114300" simplePos="0" relativeHeight="251661312" behindDoc="0" locked="0" layoutInCell="1" allowOverlap="1" wp14:anchorId="773DDFC7" wp14:editId="07AE464D">
              <wp:simplePos x="0" y="0"/>
              <wp:positionH relativeFrom="column">
                <wp:posOffset>3943350</wp:posOffset>
              </wp:positionH>
              <wp:positionV relativeFrom="paragraph">
                <wp:posOffset>366395</wp:posOffset>
              </wp:positionV>
              <wp:extent cx="2390775" cy="504825"/>
              <wp:effectExtent l="0" t="0" r="0" b="0"/>
              <wp:wrapNone/>
              <wp:docPr id="5" name="Text Box 5"/>
              <wp:cNvGraphicFramePr/>
              <a:graphic xmlns:a="http://schemas.openxmlformats.org/drawingml/2006/main">
                <a:graphicData uri="http://schemas.microsoft.com/office/word/2010/wordprocessingShape">
                  <wps:wsp>
                    <wps:cNvSpPr txBox="1"/>
                    <wps:spPr>
                      <a:xfrm>
                        <a:off x="0" y="0"/>
                        <a:ext cx="2390775" cy="504825"/>
                      </a:xfrm>
                      <a:prstGeom prst="rect">
                        <a:avLst/>
                      </a:prstGeom>
                      <a:noFill/>
                      <a:ln w="6350">
                        <a:noFill/>
                      </a:ln>
                    </wps:spPr>
                    <wps:txbx>
                      <w:txbxContent>
                        <w:p w14:paraId="03141AAF" w14:textId="189BA695" w:rsidR="00582D07" w:rsidRPr="00E01754" w:rsidRDefault="00582D07" w:rsidP="00E01754">
                          <w:pPr>
                            <w:jc w:val="right"/>
                            <w:rPr>
                              <w:rFonts w:ascii="Baskerville Old Face" w:hAnsi="Baskerville Old Face"/>
                              <w:b/>
                              <w:bCs/>
                              <w:i/>
                              <w:iCs/>
                              <w:color w:val="FF0000"/>
                              <w:sz w:val="48"/>
                              <w:szCs w:val="48"/>
                              <w:lang w:val="en-US"/>
                            </w:rPr>
                          </w:pPr>
                          <w:r w:rsidRPr="00E01754">
                            <w:rPr>
                              <w:rFonts w:ascii="Baskerville Old Face" w:hAnsi="Baskerville Old Face"/>
                              <w:b/>
                              <w:bCs/>
                              <w:i/>
                              <w:iCs/>
                              <w:color w:val="FF0000"/>
                              <w:sz w:val="48"/>
                              <w:szCs w:val="48"/>
                              <w:lang w:val="en-US"/>
                            </w:rPr>
                            <w:t>Flash 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3DDFC7" id="_x0000_t202" coordsize="21600,21600" o:spt="202" path="m,l,21600r21600,l21600,xe">
              <v:stroke joinstyle="miter"/>
              <v:path gradientshapeok="t" o:connecttype="rect"/>
            </v:shapetype>
            <v:shape id="Text Box 5" o:spid="_x0000_s1027" type="#_x0000_t202" style="position:absolute;left:0;text-align:left;margin-left:310.5pt;margin-top:28.85pt;width:188.25pt;height:3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" filled="f" stroked="f" strokeweight=".5pt">
              <v:textbox>
                <w:txbxContent>
                  <w:p w14:paraId="03141AAF" w14:textId="189BA695" w:rsidR="00582D07" w:rsidRPr="00E01754" w:rsidRDefault="00582D07" w:rsidP="00E01754">
                    <w:pPr>
                      <w:jc w:val="right"/>
                      <w:rPr>
                        <w:rFonts w:ascii="Baskerville Old Face" w:hAnsi="Baskerville Old Face"/>
                        <w:b/>
                        <w:bCs/>
                        <w:i/>
                        <w:iCs/>
                        <w:color w:val="FF0000"/>
                        <w:sz w:val="48"/>
                        <w:szCs w:val="48"/>
                        <w:lang w:val="en-US"/>
                      </w:rPr>
                    </w:pPr>
                    <w:r w:rsidRPr="00E01754">
                      <w:rPr>
                        <w:rFonts w:ascii="Baskerville Old Face" w:hAnsi="Baskerville Old Face"/>
                        <w:b/>
                        <w:bCs/>
                        <w:i/>
                        <w:iCs/>
                        <w:color w:val="FF0000"/>
                        <w:sz w:val="48"/>
                        <w:szCs w:val="48"/>
                        <w:lang w:val="en-US"/>
                      </w:rPr>
                      <w:t>Flash Comment</w:t>
                    </w:r>
                  </w:p>
                </w:txbxContent>
              </v:textbox>
            </v:shape>
          </w:pict>
        </mc:Fallback>
      </mc:AlternateContent>
    </w:r>
    <w:r w:rsidR="00201978">
      <w:rPr>
        <w:b/>
        <w:noProof/>
        <w:color w:val="4BACC6" w:themeColor="accent5"/>
        <w:sz w:val="36"/>
        <w:szCs w:val="36"/>
        <w:lang w:val="en-US" w:bidi="he-IL"/>
      </w:rPr>
      <w:drawing>
        <wp:inline distT="0" distB="0" distL="0" distR="0" wp14:anchorId="6C947C84" wp14:editId="70F38739">
          <wp:extent cx="1554480" cy="1097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1097280"/>
                  </a:xfrm>
                  <a:prstGeom prst="rect">
                    <a:avLst/>
                  </a:prstGeom>
                  <a:noFill/>
                </pic:spPr>
              </pic:pic>
            </a:graphicData>
          </a:graphic>
        </wp:inline>
      </w:drawing>
    </w:r>
    <w:r w:rsidR="00DE1448">
      <w:rPr>
        <w:b/>
        <w:noProof/>
        <w:color w:val="4BACC6" w:themeColor="accent5"/>
        <w:sz w:val="36"/>
        <w:szCs w:val="36"/>
        <w:lang w:val="en-AU" w:eastAsia="en-AU"/>
      </w:rPr>
      <w:tab/>
    </w:r>
    <w:r w:rsidR="00DE1448" w:rsidRPr="00DE1448">
      <w:rPr>
        <w:b/>
        <w:noProof/>
        <w:color w:val="FF0000"/>
        <w:sz w:val="36"/>
        <w:szCs w:val="36"/>
        <w:lang w:val="en-AU" w:eastAsia="en-AU"/>
      </w:rPr>
      <w:tab/>
    </w:r>
    <w:r w:rsidR="00AA1C66">
      <w:rPr>
        <w:b/>
        <w:noProof/>
        <w:color w:val="FF0000"/>
        <w:sz w:val="36"/>
        <w:szCs w:val="36"/>
        <w:lang w:val="en-AU" w:eastAsia="en-AU"/>
      </w:rPr>
      <w:tab/>
    </w:r>
    <w:r w:rsidR="00DE1448">
      <w:rPr>
        <w:b/>
        <w:noProof/>
        <w:color w:val="FF0000"/>
        <w:sz w:val="36"/>
        <w:szCs w:val="36"/>
        <w:lang w:val="en-AU" w:eastAsia="en-AU"/>
      </w:rPr>
      <w:tab/>
    </w:r>
  </w:p>
  <w:tbl>
    <w:tblPr>
      <w:tblpPr w:vertAnchor="page" w:horzAnchor="page" w:tblpX="8081" w:tblpY="1957"/>
      <w:tblW w:w="3346" w:type="dxa"/>
      <w:tblLayout w:type="fixed"/>
      <w:tblCellMar>
        <w:left w:w="0" w:type="dxa"/>
        <w:right w:w="0" w:type="dxa"/>
      </w:tblCellMar>
      <w:tblLook w:val="04A0" w:firstRow="1" w:lastRow="0" w:firstColumn="1" w:lastColumn="0" w:noHBand="0" w:noVBand="1"/>
    </w:tblPr>
    <w:tblGrid>
      <w:gridCol w:w="3346"/>
    </w:tblGrid>
    <w:tr w:rsidR="001365C7" w14:paraId="7EFF7A91" w14:textId="77777777" w:rsidTr="006E5994">
      <w:trPr>
        <w:trHeight w:val="142"/>
      </w:trPr>
      <w:tc>
        <w:tcPr>
          <w:tcW w:w="3346" w:type="dxa"/>
        </w:tcPr>
        <w:p w14:paraId="7A2BD7B7" w14:textId="5A78DE27" w:rsidR="001365C7" w:rsidRPr="007C2C41" w:rsidRDefault="009667D5" w:rsidP="00E146D0">
          <w:pPr>
            <w:pStyle w:val="DocDate"/>
            <w:rPr>
              <w:noProof/>
              <w:color w:val="auto"/>
            </w:rPr>
          </w:pPr>
          <w:r>
            <w:rPr>
              <w:color w:val="auto"/>
            </w:rPr>
            <w:t>3</w:t>
          </w:r>
          <w:r w:rsidRPr="009667D5">
            <w:rPr>
              <w:color w:val="auto"/>
              <w:vertAlign w:val="superscript"/>
            </w:rPr>
            <w:t>rd</w:t>
          </w:r>
          <w:r>
            <w:rPr>
              <w:color w:val="auto"/>
            </w:rPr>
            <w:t xml:space="preserve"> March 2021</w:t>
          </w:r>
        </w:p>
      </w:tc>
    </w:tr>
  </w:tbl>
  <w:p w14:paraId="2A0E0CE1" w14:textId="77777777" w:rsidR="00160DAA" w:rsidRDefault="00DE39C8" w:rsidP="00C6248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9pt;height:8.9pt" o:bullet="t">
        <v:imagedata r:id="rId1" o:title="BD10265_"/>
      </v:shape>
    </w:pict>
  </w:numPicBullet>
  <w:abstractNum w:abstractNumId="0" w15:restartNumberingAfterBreak="0">
    <w:nsid w:val="05F704B8"/>
    <w:multiLevelType w:val="hybridMultilevel"/>
    <w:tmpl w:val="AF746730"/>
    <w:lvl w:ilvl="0" w:tplc="3D9CFE5C">
      <w:start w:val="10"/>
      <w:numFmt w:val="bullet"/>
      <w:lvlText w:val="-"/>
      <w:lvlJc w:val="left"/>
      <w:pPr>
        <w:ind w:left="1288" w:hanging="360"/>
      </w:pPr>
      <w:rPr>
        <w:rFonts w:ascii="Arial" w:eastAsia="Arial" w:hAnsi="Arial" w:cs="Arial" w:hint="default"/>
      </w:rPr>
    </w:lvl>
    <w:lvl w:ilvl="1" w:tplc="04090003">
      <w:start w:val="1"/>
      <w:numFmt w:val="bullet"/>
      <w:lvlText w:val="o"/>
      <w:lvlJc w:val="left"/>
      <w:pPr>
        <w:ind w:left="2008" w:hanging="360"/>
      </w:pPr>
      <w:rPr>
        <w:rFonts w:ascii="Courier New" w:hAnsi="Courier New" w:cs="Courier New" w:hint="default"/>
      </w:rPr>
    </w:lvl>
    <w:lvl w:ilvl="2" w:tplc="04090005">
      <w:start w:val="1"/>
      <w:numFmt w:val="bullet"/>
      <w:lvlText w:val=""/>
      <w:lvlJc w:val="left"/>
      <w:pPr>
        <w:ind w:left="2728" w:hanging="360"/>
      </w:pPr>
      <w:rPr>
        <w:rFonts w:ascii="Wingdings" w:hAnsi="Wingdings" w:hint="default"/>
      </w:rPr>
    </w:lvl>
    <w:lvl w:ilvl="3" w:tplc="04090001">
      <w:start w:val="1"/>
      <w:numFmt w:val="bullet"/>
      <w:lvlText w:val=""/>
      <w:lvlJc w:val="left"/>
      <w:pPr>
        <w:ind w:left="3448" w:hanging="360"/>
      </w:pPr>
      <w:rPr>
        <w:rFonts w:ascii="Symbol" w:hAnsi="Symbol" w:hint="default"/>
      </w:rPr>
    </w:lvl>
    <w:lvl w:ilvl="4" w:tplc="04090003">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 w15:restartNumberingAfterBreak="0">
    <w:nsid w:val="08C04ED4"/>
    <w:multiLevelType w:val="hybridMultilevel"/>
    <w:tmpl w:val="D7F2FCB6"/>
    <w:lvl w:ilvl="0" w:tplc="C4C4066E">
      <w:start w:val="10"/>
      <w:numFmt w:val="bullet"/>
      <w:lvlText w:val="-"/>
      <w:lvlJc w:val="left"/>
      <w:pPr>
        <w:ind w:left="36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40BCB"/>
    <w:multiLevelType w:val="multilevel"/>
    <w:tmpl w:val="2954EC76"/>
    <w:lvl w:ilvl="0">
      <w:start w:val="1"/>
      <w:numFmt w:val="bullet"/>
      <w:lvlText w:val=""/>
      <w:lvlJc w:val="left"/>
      <w:pPr>
        <w:tabs>
          <w:tab w:val="num" w:pos="170"/>
        </w:tabs>
        <w:ind w:left="170" w:hanging="170"/>
      </w:pPr>
      <w:rPr>
        <w:rFonts w:ascii="Wingdings" w:hAnsi="Wingdings" w:hint="default"/>
        <w:color w:val="4F81BD" w:themeColor="accent1"/>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2A5471"/>
    <w:multiLevelType w:val="hybridMultilevel"/>
    <w:tmpl w:val="52921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40302B"/>
    <w:multiLevelType w:val="multilevel"/>
    <w:tmpl w:val="4C328472"/>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164660"/>
    <w:multiLevelType w:val="multilevel"/>
    <w:tmpl w:val="26529C46"/>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E40AC9"/>
    <w:multiLevelType w:val="hybridMultilevel"/>
    <w:tmpl w:val="0944B6E8"/>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9F0464"/>
    <w:multiLevelType w:val="multilevel"/>
    <w:tmpl w:val="278CAF70"/>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E3444F"/>
    <w:multiLevelType w:val="multilevel"/>
    <w:tmpl w:val="7262BB02"/>
    <w:lvl w:ilvl="0">
      <w:start w:val="1"/>
      <w:numFmt w:val="bullet"/>
      <w:pStyle w:val="TableBullet1"/>
      <w:lvlText w:val=""/>
      <w:lvlJc w:val="left"/>
      <w:pPr>
        <w:tabs>
          <w:tab w:val="num" w:pos="170"/>
        </w:tabs>
        <w:ind w:left="170" w:hanging="170"/>
      </w:pPr>
      <w:rPr>
        <w:rFonts w:ascii="Wingdings" w:hAnsi="Wingdings" w:hint="default"/>
        <w:color w:val="4F81BD" w:themeColor="accent1"/>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253A60"/>
    <w:multiLevelType w:val="multilevel"/>
    <w:tmpl w:val="8EA84EBC"/>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C95262"/>
    <w:multiLevelType w:val="hybridMultilevel"/>
    <w:tmpl w:val="7CB4930A"/>
    <w:lvl w:ilvl="0" w:tplc="95D8F174">
      <w:start w:val="2017"/>
      <w:numFmt w:val="decimal"/>
      <w:lvlText w:val="%1"/>
      <w:lvlJc w:val="left"/>
      <w:pPr>
        <w:ind w:left="462" w:hanging="405"/>
      </w:pPr>
      <w:rPr>
        <w:rFonts w:hint="default"/>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7"/>
  </w:num>
  <w:num w:numId="5">
    <w:abstractNumId w:val="3"/>
  </w:num>
  <w:num w:numId="6">
    <w:abstractNumId w:val="6"/>
  </w:num>
  <w:num w:numId="7">
    <w:abstractNumId w:val="1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num>
  <w:num w:numId="13">
    <w:abstractNumId w:val="5"/>
  </w:num>
  <w:num w:numId="14">
    <w:abstractNumId w:val="9"/>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AU"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C6"/>
    <w:rsid w:val="00001AD0"/>
    <w:rsid w:val="00006E9A"/>
    <w:rsid w:val="000100CE"/>
    <w:rsid w:val="00010C3A"/>
    <w:rsid w:val="000115CA"/>
    <w:rsid w:val="0001184B"/>
    <w:rsid w:val="00013C0B"/>
    <w:rsid w:val="00016529"/>
    <w:rsid w:val="000165A0"/>
    <w:rsid w:val="0002198C"/>
    <w:rsid w:val="00024211"/>
    <w:rsid w:val="00025A63"/>
    <w:rsid w:val="00025C07"/>
    <w:rsid w:val="00025CEF"/>
    <w:rsid w:val="000260A7"/>
    <w:rsid w:val="000263B5"/>
    <w:rsid w:val="0002796A"/>
    <w:rsid w:val="000305D6"/>
    <w:rsid w:val="00030643"/>
    <w:rsid w:val="00031F34"/>
    <w:rsid w:val="00032D3B"/>
    <w:rsid w:val="00033810"/>
    <w:rsid w:val="00040BE4"/>
    <w:rsid w:val="00041453"/>
    <w:rsid w:val="00042115"/>
    <w:rsid w:val="0004343E"/>
    <w:rsid w:val="000440E0"/>
    <w:rsid w:val="00046811"/>
    <w:rsid w:val="00050131"/>
    <w:rsid w:val="00051E2D"/>
    <w:rsid w:val="0005743D"/>
    <w:rsid w:val="00057A69"/>
    <w:rsid w:val="00057D26"/>
    <w:rsid w:val="000601A1"/>
    <w:rsid w:val="00061FAE"/>
    <w:rsid w:val="00063414"/>
    <w:rsid w:val="0006350F"/>
    <w:rsid w:val="00073C82"/>
    <w:rsid w:val="000747E4"/>
    <w:rsid w:val="00074941"/>
    <w:rsid w:val="00085C98"/>
    <w:rsid w:val="00092C9A"/>
    <w:rsid w:val="000A0116"/>
    <w:rsid w:val="000A0C64"/>
    <w:rsid w:val="000A117B"/>
    <w:rsid w:val="000A1D36"/>
    <w:rsid w:val="000A303E"/>
    <w:rsid w:val="000A3E82"/>
    <w:rsid w:val="000A49C5"/>
    <w:rsid w:val="000A57AD"/>
    <w:rsid w:val="000A7363"/>
    <w:rsid w:val="000B02F7"/>
    <w:rsid w:val="000B1837"/>
    <w:rsid w:val="000B2D54"/>
    <w:rsid w:val="000B46E2"/>
    <w:rsid w:val="000B5962"/>
    <w:rsid w:val="000B5EA7"/>
    <w:rsid w:val="000C18F7"/>
    <w:rsid w:val="000C3AFF"/>
    <w:rsid w:val="000C624E"/>
    <w:rsid w:val="000C6A6E"/>
    <w:rsid w:val="000C735C"/>
    <w:rsid w:val="000D0CDE"/>
    <w:rsid w:val="000D31D4"/>
    <w:rsid w:val="000D3903"/>
    <w:rsid w:val="000D43E0"/>
    <w:rsid w:val="000D5CBE"/>
    <w:rsid w:val="000D7A04"/>
    <w:rsid w:val="000D7B83"/>
    <w:rsid w:val="000E1952"/>
    <w:rsid w:val="000E500A"/>
    <w:rsid w:val="000E5EF5"/>
    <w:rsid w:val="000F0041"/>
    <w:rsid w:val="000F102A"/>
    <w:rsid w:val="000F511C"/>
    <w:rsid w:val="000F72C6"/>
    <w:rsid w:val="000F7D3E"/>
    <w:rsid w:val="00100267"/>
    <w:rsid w:val="00100AD9"/>
    <w:rsid w:val="0010234E"/>
    <w:rsid w:val="001041CD"/>
    <w:rsid w:val="00107C30"/>
    <w:rsid w:val="00113812"/>
    <w:rsid w:val="001149D3"/>
    <w:rsid w:val="0011524E"/>
    <w:rsid w:val="0011536A"/>
    <w:rsid w:val="001170F5"/>
    <w:rsid w:val="001211B3"/>
    <w:rsid w:val="00122062"/>
    <w:rsid w:val="00122321"/>
    <w:rsid w:val="00122F87"/>
    <w:rsid w:val="0013083B"/>
    <w:rsid w:val="0013099F"/>
    <w:rsid w:val="00130D73"/>
    <w:rsid w:val="001320FB"/>
    <w:rsid w:val="00134C55"/>
    <w:rsid w:val="001410C9"/>
    <w:rsid w:val="00141D63"/>
    <w:rsid w:val="00142FB1"/>
    <w:rsid w:val="00144CBC"/>
    <w:rsid w:val="00155702"/>
    <w:rsid w:val="001642E6"/>
    <w:rsid w:val="00164AB7"/>
    <w:rsid w:val="0016635D"/>
    <w:rsid w:val="00166AC2"/>
    <w:rsid w:val="00166B76"/>
    <w:rsid w:val="001722E6"/>
    <w:rsid w:val="00172641"/>
    <w:rsid w:val="00176484"/>
    <w:rsid w:val="00176E7E"/>
    <w:rsid w:val="00176F8D"/>
    <w:rsid w:val="0018000D"/>
    <w:rsid w:val="001804E1"/>
    <w:rsid w:val="001829BD"/>
    <w:rsid w:val="0018398B"/>
    <w:rsid w:val="001873FD"/>
    <w:rsid w:val="001877BE"/>
    <w:rsid w:val="001902ED"/>
    <w:rsid w:val="00193D27"/>
    <w:rsid w:val="00196E08"/>
    <w:rsid w:val="001A169C"/>
    <w:rsid w:val="001A18F3"/>
    <w:rsid w:val="001A2A45"/>
    <w:rsid w:val="001A33C3"/>
    <w:rsid w:val="001B0148"/>
    <w:rsid w:val="001B1F5F"/>
    <w:rsid w:val="001B3CF6"/>
    <w:rsid w:val="001B6B0F"/>
    <w:rsid w:val="001C0C6B"/>
    <w:rsid w:val="001C19F2"/>
    <w:rsid w:val="001C42B3"/>
    <w:rsid w:val="001C4E66"/>
    <w:rsid w:val="001C50D6"/>
    <w:rsid w:val="001C6BF4"/>
    <w:rsid w:val="001D1A22"/>
    <w:rsid w:val="001D32E4"/>
    <w:rsid w:val="001D3B61"/>
    <w:rsid w:val="001D4B43"/>
    <w:rsid w:val="001D527A"/>
    <w:rsid w:val="001E05B1"/>
    <w:rsid w:val="001E31C4"/>
    <w:rsid w:val="001E3E6B"/>
    <w:rsid w:val="001E434E"/>
    <w:rsid w:val="001E6114"/>
    <w:rsid w:val="001F089C"/>
    <w:rsid w:val="001F26AC"/>
    <w:rsid w:val="001F2AF3"/>
    <w:rsid w:val="001F656E"/>
    <w:rsid w:val="0020002B"/>
    <w:rsid w:val="00200B6C"/>
    <w:rsid w:val="00201978"/>
    <w:rsid w:val="00205710"/>
    <w:rsid w:val="00206609"/>
    <w:rsid w:val="0020677C"/>
    <w:rsid w:val="00206F01"/>
    <w:rsid w:val="002070B3"/>
    <w:rsid w:val="00210EF6"/>
    <w:rsid w:val="00212B3C"/>
    <w:rsid w:val="00214389"/>
    <w:rsid w:val="00220D5D"/>
    <w:rsid w:val="002213B1"/>
    <w:rsid w:val="00221823"/>
    <w:rsid w:val="00223239"/>
    <w:rsid w:val="00230207"/>
    <w:rsid w:val="00233A4F"/>
    <w:rsid w:val="00233AD7"/>
    <w:rsid w:val="00234F4E"/>
    <w:rsid w:val="002357CB"/>
    <w:rsid w:val="00240FB9"/>
    <w:rsid w:val="002431DA"/>
    <w:rsid w:val="00243B53"/>
    <w:rsid w:val="00245012"/>
    <w:rsid w:val="00246081"/>
    <w:rsid w:val="002461C7"/>
    <w:rsid w:val="002464F2"/>
    <w:rsid w:val="0024716D"/>
    <w:rsid w:val="0025282E"/>
    <w:rsid w:val="002542EA"/>
    <w:rsid w:val="00256CC5"/>
    <w:rsid w:val="00256D3D"/>
    <w:rsid w:val="00257509"/>
    <w:rsid w:val="00257D1F"/>
    <w:rsid w:val="00257D23"/>
    <w:rsid w:val="00264A73"/>
    <w:rsid w:val="0026593E"/>
    <w:rsid w:val="00265F8B"/>
    <w:rsid w:val="00270A3E"/>
    <w:rsid w:val="0027744B"/>
    <w:rsid w:val="00283496"/>
    <w:rsid w:val="00286273"/>
    <w:rsid w:val="002866D6"/>
    <w:rsid w:val="00290E11"/>
    <w:rsid w:val="002929CC"/>
    <w:rsid w:val="002A5E0E"/>
    <w:rsid w:val="002A650C"/>
    <w:rsid w:val="002A6703"/>
    <w:rsid w:val="002B14FB"/>
    <w:rsid w:val="002B1674"/>
    <w:rsid w:val="002B3FE1"/>
    <w:rsid w:val="002B52CE"/>
    <w:rsid w:val="002C1E35"/>
    <w:rsid w:val="002C712A"/>
    <w:rsid w:val="002D0860"/>
    <w:rsid w:val="002D2F39"/>
    <w:rsid w:val="002D462F"/>
    <w:rsid w:val="002D48A5"/>
    <w:rsid w:val="002D4C3D"/>
    <w:rsid w:val="002D4EAD"/>
    <w:rsid w:val="002D67EC"/>
    <w:rsid w:val="002D685F"/>
    <w:rsid w:val="002E0727"/>
    <w:rsid w:val="002E31B1"/>
    <w:rsid w:val="002F0964"/>
    <w:rsid w:val="002F16A1"/>
    <w:rsid w:val="002F1E59"/>
    <w:rsid w:val="002F5C52"/>
    <w:rsid w:val="002F5E64"/>
    <w:rsid w:val="00300373"/>
    <w:rsid w:val="003021E4"/>
    <w:rsid w:val="00302B23"/>
    <w:rsid w:val="003031C1"/>
    <w:rsid w:val="0030542B"/>
    <w:rsid w:val="0030639B"/>
    <w:rsid w:val="003077D5"/>
    <w:rsid w:val="00311176"/>
    <w:rsid w:val="00311988"/>
    <w:rsid w:val="00313FA0"/>
    <w:rsid w:val="0031632C"/>
    <w:rsid w:val="00316A24"/>
    <w:rsid w:val="00322953"/>
    <w:rsid w:val="00325CD8"/>
    <w:rsid w:val="0033189C"/>
    <w:rsid w:val="003357BC"/>
    <w:rsid w:val="003375B9"/>
    <w:rsid w:val="00337EB0"/>
    <w:rsid w:val="003410C5"/>
    <w:rsid w:val="00341D03"/>
    <w:rsid w:val="00343508"/>
    <w:rsid w:val="00343C10"/>
    <w:rsid w:val="00344BE9"/>
    <w:rsid w:val="00347F4A"/>
    <w:rsid w:val="00356724"/>
    <w:rsid w:val="00357D98"/>
    <w:rsid w:val="00360079"/>
    <w:rsid w:val="0036572C"/>
    <w:rsid w:val="00365B00"/>
    <w:rsid w:val="0037061A"/>
    <w:rsid w:val="00370E9B"/>
    <w:rsid w:val="00371365"/>
    <w:rsid w:val="00375800"/>
    <w:rsid w:val="003772C6"/>
    <w:rsid w:val="00377B09"/>
    <w:rsid w:val="00380A51"/>
    <w:rsid w:val="00382660"/>
    <w:rsid w:val="00382827"/>
    <w:rsid w:val="00382FF7"/>
    <w:rsid w:val="00384AAA"/>
    <w:rsid w:val="00384F44"/>
    <w:rsid w:val="00390200"/>
    <w:rsid w:val="0039048E"/>
    <w:rsid w:val="00390F5F"/>
    <w:rsid w:val="003A612C"/>
    <w:rsid w:val="003A7F4F"/>
    <w:rsid w:val="003B23A9"/>
    <w:rsid w:val="003B28D5"/>
    <w:rsid w:val="003B2B4D"/>
    <w:rsid w:val="003B3BC5"/>
    <w:rsid w:val="003B41F3"/>
    <w:rsid w:val="003C1200"/>
    <w:rsid w:val="003C2C49"/>
    <w:rsid w:val="003C2D92"/>
    <w:rsid w:val="003C4415"/>
    <w:rsid w:val="003C44A0"/>
    <w:rsid w:val="003D0FF4"/>
    <w:rsid w:val="003D13EF"/>
    <w:rsid w:val="003D33EB"/>
    <w:rsid w:val="003D5634"/>
    <w:rsid w:val="003D64DD"/>
    <w:rsid w:val="003D6CB2"/>
    <w:rsid w:val="003D7C1C"/>
    <w:rsid w:val="003D7CC3"/>
    <w:rsid w:val="003E116C"/>
    <w:rsid w:val="003E6141"/>
    <w:rsid w:val="003F32F2"/>
    <w:rsid w:val="003F3F9D"/>
    <w:rsid w:val="003F52F8"/>
    <w:rsid w:val="003F5E88"/>
    <w:rsid w:val="003F6796"/>
    <w:rsid w:val="003F700C"/>
    <w:rsid w:val="00404DE3"/>
    <w:rsid w:val="004066E9"/>
    <w:rsid w:val="004124A6"/>
    <w:rsid w:val="00412597"/>
    <w:rsid w:val="00414DAB"/>
    <w:rsid w:val="00415E51"/>
    <w:rsid w:val="00421895"/>
    <w:rsid w:val="00422CF1"/>
    <w:rsid w:val="00425841"/>
    <w:rsid w:val="00426EF7"/>
    <w:rsid w:val="00427BBA"/>
    <w:rsid w:val="004328C6"/>
    <w:rsid w:val="00432CA1"/>
    <w:rsid w:val="0043419E"/>
    <w:rsid w:val="004348E8"/>
    <w:rsid w:val="00435801"/>
    <w:rsid w:val="00436A08"/>
    <w:rsid w:val="00441182"/>
    <w:rsid w:val="00442AF3"/>
    <w:rsid w:val="0044575A"/>
    <w:rsid w:val="00447542"/>
    <w:rsid w:val="0045691D"/>
    <w:rsid w:val="0045778E"/>
    <w:rsid w:val="004614DB"/>
    <w:rsid w:val="00461A5E"/>
    <w:rsid w:val="004626DE"/>
    <w:rsid w:val="00462E8C"/>
    <w:rsid w:val="004630DD"/>
    <w:rsid w:val="00463751"/>
    <w:rsid w:val="004662F8"/>
    <w:rsid w:val="00466351"/>
    <w:rsid w:val="00466B60"/>
    <w:rsid w:val="004671C2"/>
    <w:rsid w:val="004744B0"/>
    <w:rsid w:val="004759D7"/>
    <w:rsid w:val="0047766B"/>
    <w:rsid w:val="00477A60"/>
    <w:rsid w:val="0049423D"/>
    <w:rsid w:val="00494514"/>
    <w:rsid w:val="00496EDD"/>
    <w:rsid w:val="004A22C5"/>
    <w:rsid w:val="004A2F84"/>
    <w:rsid w:val="004B2291"/>
    <w:rsid w:val="004B246B"/>
    <w:rsid w:val="004B47BB"/>
    <w:rsid w:val="004C0DEE"/>
    <w:rsid w:val="004C0EFD"/>
    <w:rsid w:val="004C178B"/>
    <w:rsid w:val="004C27E9"/>
    <w:rsid w:val="004C3042"/>
    <w:rsid w:val="004C31D3"/>
    <w:rsid w:val="004D02E6"/>
    <w:rsid w:val="004D2EBC"/>
    <w:rsid w:val="004D583E"/>
    <w:rsid w:val="004E1F20"/>
    <w:rsid w:val="004E4849"/>
    <w:rsid w:val="004E57F4"/>
    <w:rsid w:val="004E79B1"/>
    <w:rsid w:val="004F298C"/>
    <w:rsid w:val="004F41B9"/>
    <w:rsid w:val="004F5245"/>
    <w:rsid w:val="004F72E0"/>
    <w:rsid w:val="004F7E95"/>
    <w:rsid w:val="00501726"/>
    <w:rsid w:val="00502790"/>
    <w:rsid w:val="00502CE6"/>
    <w:rsid w:val="00505E30"/>
    <w:rsid w:val="005069FE"/>
    <w:rsid w:val="00507372"/>
    <w:rsid w:val="00513A22"/>
    <w:rsid w:val="005144A4"/>
    <w:rsid w:val="005149A9"/>
    <w:rsid w:val="005159D7"/>
    <w:rsid w:val="00515E51"/>
    <w:rsid w:val="005262F9"/>
    <w:rsid w:val="005304A8"/>
    <w:rsid w:val="0053074E"/>
    <w:rsid w:val="0053469D"/>
    <w:rsid w:val="00534B64"/>
    <w:rsid w:val="00534BA1"/>
    <w:rsid w:val="005369B9"/>
    <w:rsid w:val="00540024"/>
    <w:rsid w:val="005409DB"/>
    <w:rsid w:val="00541C74"/>
    <w:rsid w:val="00543A67"/>
    <w:rsid w:val="00547FC6"/>
    <w:rsid w:val="00550C07"/>
    <w:rsid w:val="0055300B"/>
    <w:rsid w:val="00556DBA"/>
    <w:rsid w:val="00561E5B"/>
    <w:rsid w:val="00561F6C"/>
    <w:rsid w:val="005634AB"/>
    <w:rsid w:val="00564ABE"/>
    <w:rsid w:val="00565941"/>
    <w:rsid w:val="00567265"/>
    <w:rsid w:val="005678F7"/>
    <w:rsid w:val="00572D47"/>
    <w:rsid w:val="00575890"/>
    <w:rsid w:val="00577079"/>
    <w:rsid w:val="00582413"/>
    <w:rsid w:val="00582D07"/>
    <w:rsid w:val="00583C16"/>
    <w:rsid w:val="0058427F"/>
    <w:rsid w:val="00584936"/>
    <w:rsid w:val="005851AE"/>
    <w:rsid w:val="005855E8"/>
    <w:rsid w:val="00585D50"/>
    <w:rsid w:val="0059060B"/>
    <w:rsid w:val="00590A38"/>
    <w:rsid w:val="00592319"/>
    <w:rsid w:val="00596786"/>
    <w:rsid w:val="0059707F"/>
    <w:rsid w:val="005A4D27"/>
    <w:rsid w:val="005A51BF"/>
    <w:rsid w:val="005A5C54"/>
    <w:rsid w:val="005A5D8A"/>
    <w:rsid w:val="005A6A6B"/>
    <w:rsid w:val="005B232F"/>
    <w:rsid w:val="005B3AEA"/>
    <w:rsid w:val="005B42EB"/>
    <w:rsid w:val="005C20EE"/>
    <w:rsid w:val="005C2B93"/>
    <w:rsid w:val="005D0E25"/>
    <w:rsid w:val="005D0E9B"/>
    <w:rsid w:val="005D151C"/>
    <w:rsid w:val="005D2F76"/>
    <w:rsid w:val="005D3A54"/>
    <w:rsid w:val="005D463D"/>
    <w:rsid w:val="005D4F1E"/>
    <w:rsid w:val="005D5F7A"/>
    <w:rsid w:val="005D638D"/>
    <w:rsid w:val="005D6960"/>
    <w:rsid w:val="005D6DF5"/>
    <w:rsid w:val="005E0066"/>
    <w:rsid w:val="005E0C84"/>
    <w:rsid w:val="005E20C7"/>
    <w:rsid w:val="005E23A8"/>
    <w:rsid w:val="005E422A"/>
    <w:rsid w:val="005E5375"/>
    <w:rsid w:val="005E7825"/>
    <w:rsid w:val="005F0960"/>
    <w:rsid w:val="005F0C65"/>
    <w:rsid w:val="005F1DE0"/>
    <w:rsid w:val="005F3362"/>
    <w:rsid w:val="00606EA3"/>
    <w:rsid w:val="00612A2C"/>
    <w:rsid w:val="00613F10"/>
    <w:rsid w:val="00614D6E"/>
    <w:rsid w:val="006207B9"/>
    <w:rsid w:val="00620F42"/>
    <w:rsid w:val="00622513"/>
    <w:rsid w:val="0062368A"/>
    <w:rsid w:val="00623A3A"/>
    <w:rsid w:val="00624BB9"/>
    <w:rsid w:val="006255B1"/>
    <w:rsid w:val="00626B5C"/>
    <w:rsid w:val="00631156"/>
    <w:rsid w:val="00631E60"/>
    <w:rsid w:val="00635AA2"/>
    <w:rsid w:val="00636B62"/>
    <w:rsid w:val="0063762E"/>
    <w:rsid w:val="00637C1E"/>
    <w:rsid w:val="0064184D"/>
    <w:rsid w:val="0064502D"/>
    <w:rsid w:val="00645289"/>
    <w:rsid w:val="006456A9"/>
    <w:rsid w:val="00650A2E"/>
    <w:rsid w:val="00651CB3"/>
    <w:rsid w:val="00653A33"/>
    <w:rsid w:val="00654DB4"/>
    <w:rsid w:val="00655A6D"/>
    <w:rsid w:val="00656ADB"/>
    <w:rsid w:val="00660141"/>
    <w:rsid w:val="006614BD"/>
    <w:rsid w:val="00663DCB"/>
    <w:rsid w:val="00665C29"/>
    <w:rsid w:val="006711E1"/>
    <w:rsid w:val="00671B66"/>
    <w:rsid w:val="00672357"/>
    <w:rsid w:val="006812DD"/>
    <w:rsid w:val="006862D3"/>
    <w:rsid w:val="00687055"/>
    <w:rsid w:val="00687299"/>
    <w:rsid w:val="0068743E"/>
    <w:rsid w:val="006939E2"/>
    <w:rsid w:val="00693A42"/>
    <w:rsid w:val="006968B7"/>
    <w:rsid w:val="006A19EB"/>
    <w:rsid w:val="006A490F"/>
    <w:rsid w:val="006A6F48"/>
    <w:rsid w:val="006B39B7"/>
    <w:rsid w:val="006B3E8C"/>
    <w:rsid w:val="006B54F2"/>
    <w:rsid w:val="006B70AD"/>
    <w:rsid w:val="006C1398"/>
    <w:rsid w:val="006C1A52"/>
    <w:rsid w:val="006C32A2"/>
    <w:rsid w:val="006D4603"/>
    <w:rsid w:val="006D5B5B"/>
    <w:rsid w:val="006D6794"/>
    <w:rsid w:val="006D6F65"/>
    <w:rsid w:val="006E00E4"/>
    <w:rsid w:val="006E2743"/>
    <w:rsid w:val="006E734A"/>
    <w:rsid w:val="006E7729"/>
    <w:rsid w:val="006F0FB7"/>
    <w:rsid w:val="006F4145"/>
    <w:rsid w:val="006F4C78"/>
    <w:rsid w:val="006F5229"/>
    <w:rsid w:val="006F5A9A"/>
    <w:rsid w:val="006F5B73"/>
    <w:rsid w:val="00700360"/>
    <w:rsid w:val="00702B6D"/>
    <w:rsid w:val="00707ED7"/>
    <w:rsid w:val="00711DEC"/>
    <w:rsid w:val="00713E8B"/>
    <w:rsid w:val="007165EF"/>
    <w:rsid w:val="00716937"/>
    <w:rsid w:val="00717076"/>
    <w:rsid w:val="007171E6"/>
    <w:rsid w:val="00721228"/>
    <w:rsid w:val="00726C91"/>
    <w:rsid w:val="007310D4"/>
    <w:rsid w:val="0073161D"/>
    <w:rsid w:val="00734677"/>
    <w:rsid w:val="00735A94"/>
    <w:rsid w:val="00736F21"/>
    <w:rsid w:val="0074214D"/>
    <w:rsid w:val="00742B3D"/>
    <w:rsid w:val="007439CD"/>
    <w:rsid w:val="00743E11"/>
    <w:rsid w:val="00746A3D"/>
    <w:rsid w:val="00746B35"/>
    <w:rsid w:val="00750051"/>
    <w:rsid w:val="00752E23"/>
    <w:rsid w:val="007538E8"/>
    <w:rsid w:val="00754F5D"/>
    <w:rsid w:val="007557CA"/>
    <w:rsid w:val="007607CB"/>
    <w:rsid w:val="007620DC"/>
    <w:rsid w:val="0076298B"/>
    <w:rsid w:val="00767F73"/>
    <w:rsid w:val="00771BA2"/>
    <w:rsid w:val="00773949"/>
    <w:rsid w:val="00773CAA"/>
    <w:rsid w:val="00776F25"/>
    <w:rsid w:val="00781253"/>
    <w:rsid w:val="0078301B"/>
    <w:rsid w:val="00787DC9"/>
    <w:rsid w:val="007B06EC"/>
    <w:rsid w:val="007B40FB"/>
    <w:rsid w:val="007B4276"/>
    <w:rsid w:val="007B7197"/>
    <w:rsid w:val="007B77E2"/>
    <w:rsid w:val="007B78BB"/>
    <w:rsid w:val="007C2AE9"/>
    <w:rsid w:val="007C2C41"/>
    <w:rsid w:val="007C68FE"/>
    <w:rsid w:val="007C71D7"/>
    <w:rsid w:val="007D2778"/>
    <w:rsid w:val="007D7CBB"/>
    <w:rsid w:val="007E1E3A"/>
    <w:rsid w:val="007E4DF3"/>
    <w:rsid w:val="007E4F77"/>
    <w:rsid w:val="007E5F78"/>
    <w:rsid w:val="007F0F77"/>
    <w:rsid w:val="007F4F83"/>
    <w:rsid w:val="00805096"/>
    <w:rsid w:val="00805A00"/>
    <w:rsid w:val="0081004B"/>
    <w:rsid w:val="0081553A"/>
    <w:rsid w:val="008175AF"/>
    <w:rsid w:val="008212B4"/>
    <w:rsid w:val="00821F9D"/>
    <w:rsid w:val="00823D34"/>
    <w:rsid w:val="0082613B"/>
    <w:rsid w:val="008274EC"/>
    <w:rsid w:val="00830188"/>
    <w:rsid w:val="00831B23"/>
    <w:rsid w:val="00833250"/>
    <w:rsid w:val="00835977"/>
    <w:rsid w:val="0083757D"/>
    <w:rsid w:val="008401DA"/>
    <w:rsid w:val="00840DE6"/>
    <w:rsid w:val="008412C2"/>
    <w:rsid w:val="00841A93"/>
    <w:rsid w:val="00847768"/>
    <w:rsid w:val="00855717"/>
    <w:rsid w:val="00857197"/>
    <w:rsid w:val="00857803"/>
    <w:rsid w:val="008611CB"/>
    <w:rsid w:val="00864110"/>
    <w:rsid w:val="0086650F"/>
    <w:rsid w:val="00866CED"/>
    <w:rsid w:val="008720A6"/>
    <w:rsid w:val="00874B81"/>
    <w:rsid w:val="008756D6"/>
    <w:rsid w:val="008769D7"/>
    <w:rsid w:val="00881152"/>
    <w:rsid w:val="00881F8C"/>
    <w:rsid w:val="00881FC5"/>
    <w:rsid w:val="0088244F"/>
    <w:rsid w:val="00882E3C"/>
    <w:rsid w:val="0088581B"/>
    <w:rsid w:val="008938F5"/>
    <w:rsid w:val="00893A22"/>
    <w:rsid w:val="00894B8A"/>
    <w:rsid w:val="008960AA"/>
    <w:rsid w:val="00897BD4"/>
    <w:rsid w:val="008A0F56"/>
    <w:rsid w:val="008A4AA6"/>
    <w:rsid w:val="008A5BA4"/>
    <w:rsid w:val="008A5DEB"/>
    <w:rsid w:val="008B3793"/>
    <w:rsid w:val="008B5042"/>
    <w:rsid w:val="008B55E9"/>
    <w:rsid w:val="008B6E4D"/>
    <w:rsid w:val="008C3684"/>
    <w:rsid w:val="008C4554"/>
    <w:rsid w:val="008C4FFE"/>
    <w:rsid w:val="008D3ADE"/>
    <w:rsid w:val="008D6B09"/>
    <w:rsid w:val="008D7FC0"/>
    <w:rsid w:val="008E0DB9"/>
    <w:rsid w:val="008F07BA"/>
    <w:rsid w:val="008F0E18"/>
    <w:rsid w:val="008F336E"/>
    <w:rsid w:val="008F383E"/>
    <w:rsid w:val="008F74E8"/>
    <w:rsid w:val="008F7595"/>
    <w:rsid w:val="00900598"/>
    <w:rsid w:val="00902464"/>
    <w:rsid w:val="009036E7"/>
    <w:rsid w:val="00907546"/>
    <w:rsid w:val="00907F80"/>
    <w:rsid w:val="009253CB"/>
    <w:rsid w:val="009268A3"/>
    <w:rsid w:val="00927942"/>
    <w:rsid w:val="00931BA5"/>
    <w:rsid w:val="0093373F"/>
    <w:rsid w:val="0093594D"/>
    <w:rsid w:val="00941E75"/>
    <w:rsid w:val="009427EF"/>
    <w:rsid w:val="009445AB"/>
    <w:rsid w:val="009454BE"/>
    <w:rsid w:val="00947E67"/>
    <w:rsid w:val="00950CB2"/>
    <w:rsid w:val="00953C57"/>
    <w:rsid w:val="00954760"/>
    <w:rsid w:val="00955CF2"/>
    <w:rsid w:val="00956739"/>
    <w:rsid w:val="00961E9D"/>
    <w:rsid w:val="00963152"/>
    <w:rsid w:val="009645E7"/>
    <w:rsid w:val="00964C03"/>
    <w:rsid w:val="009667D5"/>
    <w:rsid w:val="00966FF9"/>
    <w:rsid w:val="009754F5"/>
    <w:rsid w:val="009760F2"/>
    <w:rsid w:val="00987B9D"/>
    <w:rsid w:val="00987BD0"/>
    <w:rsid w:val="009915B5"/>
    <w:rsid w:val="00993602"/>
    <w:rsid w:val="009A204F"/>
    <w:rsid w:val="009A2473"/>
    <w:rsid w:val="009A280F"/>
    <w:rsid w:val="009A385C"/>
    <w:rsid w:val="009A3A50"/>
    <w:rsid w:val="009A42DE"/>
    <w:rsid w:val="009A5C47"/>
    <w:rsid w:val="009A7855"/>
    <w:rsid w:val="009B0E8C"/>
    <w:rsid w:val="009B15CB"/>
    <w:rsid w:val="009B6405"/>
    <w:rsid w:val="009B7D6B"/>
    <w:rsid w:val="009C073C"/>
    <w:rsid w:val="009C379B"/>
    <w:rsid w:val="009C661D"/>
    <w:rsid w:val="009D3850"/>
    <w:rsid w:val="009D3FE4"/>
    <w:rsid w:val="009D45B1"/>
    <w:rsid w:val="009D4CEB"/>
    <w:rsid w:val="009D5FC6"/>
    <w:rsid w:val="009D6D9A"/>
    <w:rsid w:val="009D7452"/>
    <w:rsid w:val="009E10C2"/>
    <w:rsid w:val="009E4375"/>
    <w:rsid w:val="009E529B"/>
    <w:rsid w:val="009E537E"/>
    <w:rsid w:val="009F1537"/>
    <w:rsid w:val="009F3A53"/>
    <w:rsid w:val="009F559D"/>
    <w:rsid w:val="00A03212"/>
    <w:rsid w:val="00A036A1"/>
    <w:rsid w:val="00A11056"/>
    <w:rsid w:val="00A15070"/>
    <w:rsid w:val="00A154D3"/>
    <w:rsid w:val="00A203F0"/>
    <w:rsid w:val="00A30625"/>
    <w:rsid w:val="00A310AF"/>
    <w:rsid w:val="00A31908"/>
    <w:rsid w:val="00A336E3"/>
    <w:rsid w:val="00A369FA"/>
    <w:rsid w:val="00A41B62"/>
    <w:rsid w:val="00A43DA7"/>
    <w:rsid w:val="00A507FC"/>
    <w:rsid w:val="00A53422"/>
    <w:rsid w:val="00A552E5"/>
    <w:rsid w:val="00A56593"/>
    <w:rsid w:val="00A60F11"/>
    <w:rsid w:val="00A62153"/>
    <w:rsid w:val="00A647E0"/>
    <w:rsid w:val="00A64ECA"/>
    <w:rsid w:val="00A708C7"/>
    <w:rsid w:val="00A71BEF"/>
    <w:rsid w:val="00A75BE7"/>
    <w:rsid w:val="00A770EE"/>
    <w:rsid w:val="00A915B8"/>
    <w:rsid w:val="00A91FFE"/>
    <w:rsid w:val="00A96D2E"/>
    <w:rsid w:val="00A972F9"/>
    <w:rsid w:val="00AA1109"/>
    <w:rsid w:val="00AA1148"/>
    <w:rsid w:val="00AA1C66"/>
    <w:rsid w:val="00AA48FA"/>
    <w:rsid w:val="00AA49E8"/>
    <w:rsid w:val="00AA5488"/>
    <w:rsid w:val="00AA6349"/>
    <w:rsid w:val="00AA7023"/>
    <w:rsid w:val="00AB3EDE"/>
    <w:rsid w:val="00AB6BB3"/>
    <w:rsid w:val="00AB6EB6"/>
    <w:rsid w:val="00AC11C8"/>
    <w:rsid w:val="00AC1A08"/>
    <w:rsid w:val="00AC6920"/>
    <w:rsid w:val="00AC770A"/>
    <w:rsid w:val="00AD11AA"/>
    <w:rsid w:val="00AD1481"/>
    <w:rsid w:val="00AD3C85"/>
    <w:rsid w:val="00AD5341"/>
    <w:rsid w:val="00AD5896"/>
    <w:rsid w:val="00AE0664"/>
    <w:rsid w:val="00AE716C"/>
    <w:rsid w:val="00AE7B43"/>
    <w:rsid w:val="00AF1BD7"/>
    <w:rsid w:val="00AF528B"/>
    <w:rsid w:val="00AF6591"/>
    <w:rsid w:val="00B05260"/>
    <w:rsid w:val="00B06125"/>
    <w:rsid w:val="00B06E05"/>
    <w:rsid w:val="00B111D3"/>
    <w:rsid w:val="00B11A58"/>
    <w:rsid w:val="00B121A3"/>
    <w:rsid w:val="00B147AE"/>
    <w:rsid w:val="00B15BD6"/>
    <w:rsid w:val="00B177AA"/>
    <w:rsid w:val="00B22552"/>
    <w:rsid w:val="00B236AF"/>
    <w:rsid w:val="00B244B6"/>
    <w:rsid w:val="00B246D1"/>
    <w:rsid w:val="00B247BB"/>
    <w:rsid w:val="00B24E19"/>
    <w:rsid w:val="00B252A1"/>
    <w:rsid w:val="00B307DC"/>
    <w:rsid w:val="00B314E9"/>
    <w:rsid w:val="00B32A55"/>
    <w:rsid w:val="00B34251"/>
    <w:rsid w:val="00B417C3"/>
    <w:rsid w:val="00B4270B"/>
    <w:rsid w:val="00B42EDD"/>
    <w:rsid w:val="00B42F0F"/>
    <w:rsid w:val="00B42F51"/>
    <w:rsid w:val="00B437F3"/>
    <w:rsid w:val="00B44638"/>
    <w:rsid w:val="00B5324D"/>
    <w:rsid w:val="00B54A70"/>
    <w:rsid w:val="00B5735E"/>
    <w:rsid w:val="00B5769C"/>
    <w:rsid w:val="00B57AF0"/>
    <w:rsid w:val="00B6008B"/>
    <w:rsid w:val="00B61B91"/>
    <w:rsid w:val="00B66091"/>
    <w:rsid w:val="00B66C83"/>
    <w:rsid w:val="00B7140B"/>
    <w:rsid w:val="00B72468"/>
    <w:rsid w:val="00B75652"/>
    <w:rsid w:val="00B762F9"/>
    <w:rsid w:val="00B77335"/>
    <w:rsid w:val="00B81713"/>
    <w:rsid w:val="00B821AA"/>
    <w:rsid w:val="00B84331"/>
    <w:rsid w:val="00B861D8"/>
    <w:rsid w:val="00B86478"/>
    <w:rsid w:val="00B900A6"/>
    <w:rsid w:val="00B9281E"/>
    <w:rsid w:val="00B9319B"/>
    <w:rsid w:val="00B931DA"/>
    <w:rsid w:val="00B93807"/>
    <w:rsid w:val="00B9649E"/>
    <w:rsid w:val="00BA15F4"/>
    <w:rsid w:val="00BA1A6C"/>
    <w:rsid w:val="00BA346E"/>
    <w:rsid w:val="00BA3D97"/>
    <w:rsid w:val="00BA58B6"/>
    <w:rsid w:val="00BA5A1D"/>
    <w:rsid w:val="00BA6F96"/>
    <w:rsid w:val="00BA79C6"/>
    <w:rsid w:val="00BA7EBF"/>
    <w:rsid w:val="00BB105E"/>
    <w:rsid w:val="00BB316D"/>
    <w:rsid w:val="00BB36E5"/>
    <w:rsid w:val="00BB5CDB"/>
    <w:rsid w:val="00BB7767"/>
    <w:rsid w:val="00BC1DDE"/>
    <w:rsid w:val="00BC28B6"/>
    <w:rsid w:val="00BC6F98"/>
    <w:rsid w:val="00BC6FE4"/>
    <w:rsid w:val="00BD2B03"/>
    <w:rsid w:val="00BD46F7"/>
    <w:rsid w:val="00BD47B6"/>
    <w:rsid w:val="00BD75E8"/>
    <w:rsid w:val="00BE0930"/>
    <w:rsid w:val="00BE1EB1"/>
    <w:rsid w:val="00BE365B"/>
    <w:rsid w:val="00BE5BCB"/>
    <w:rsid w:val="00BE5D35"/>
    <w:rsid w:val="00BE653C"/>
    <w:rsid w:val="00BF15E9"/>
    <w:rsid w:val="00BF55D8"/>
    <w:rsid w:val="00BF6276"/>
    <w:rsid w:val="00BF6541"/>
    <w:rsid w:val="00BF69F8"/>
    <w:rsid w:val="00BF7AC1"/>
    <w:rsid w:val="00BF7E25"/>
    <w:rsid w:val="00C00081"/>
    <w:rsid w:val="00C04833"/>
    <w:rsid w:val="00C1512E"/>
    <w:rsid w:val="00C17E4D"/>
    <w:rsid w:val="00C219A9"/>
    <w:rsid w:val="00C236A2"/>
    <w:rsid w:val="00C242F5"/>
    <w:rsid w:val="00C26F16"/>
    <w:rsid w:val="00C31133"/>
    <w:rsid w:val="00C327FD"/>
    <w:rsid w:val="00C32943"/>
    <w:rsid w:val="00C32AD5"/>
    <w:rsid w:val="00C36FDD"/>
    <w:rsid w:val="00C40677"/>
    <w:rsid w:val="00C440B2"/>
    <w:rsid w:val="00C4477D"/>
    <w:rsid w:val="00C47467"/>
    <w:rsid w:val="00C50088"/>
    <w:rsid w:val="00C5298F"/>
    <w:rsid w:val="00C55BDF"/>
    <w:rsid w:val="00C566D1"/>
    <w:rsid w:val="00C6166F"/>
    <w:rsid w:val="00C6218E"/>
    <w:rsid w:val="00C6248C"/>
    <w:rsid w:val="00C62E28"/>
    <w:rsid w:val="00C63D2D"/>
    <w:rsid w:val="00C644C2"/>
    <w:rsid w:val="00C64858"/>
    <w:rsid w:val="00C7018E"/>
    <w:rsid w:val="00C712BD"/>
    <w:rsid w:val="00C72ED1"/>
    <w:rsid w:val="00C7787D"/>
    <w:rsid w:val="00C93490"/>
    <w:rsid w:val="00C97CE4"/>
    <w:rsid w:val="00CA024C"/>
    <w:rsid w:val="00CA09DA"/>
    <w:rsid w:val="00CA20E5"/>
    <w:rsid w:val="00CA4170"/>
    <w:rsid w:val="00CA4FC4"/>
    <w:rsid w:val="00CA53E7"/>
    <w:rsid w:val="00CA7C83"/>
    <w:rsid w:val="00CA7ECB"/>
    <w:rsid w:val="00CB095F"/>
    <w:rsid w:val="00CB1AFA"/>
    <w:rsid w:val="00CB44D5"/>
    <w:rsid w:val="00CB5081"/>
    <w:rsid w:val="00CB74DA"/>
    <w:rsid w:val="00CC0559"/>
    <w:rsid w:val="00CC39CD"/>
    <w:rsid w:val="00CC6C09"/>
    <w:rsid w:val="00CD1B70"/>
    <w:rsid w:val="00CD53C8"/>
    <w:rsid w:val="00CD6CAA"/>
    <w:rsid w:val="00CD7F16"/>
    <w:rsid w:val="00CE447B"/>
    <w:rsid w:val="00CE5784"/>
    <w:rsid w:val="00CF0075"/>
    <w:rsid w:val="00CF10FB"/>
    <w:rsid w:val="00CF3852"/>
    <w:rsid w:val="00CF5D05"/>
    <w:rsid w:val="00CF6BE5"/>
    <w:rsid w:val="00D001C5"/>
    <w:rsid w:val="00D00721"/>
    <w:rsid w:val="00D01A91"/>
    <w:rsid w:val="00D01CB0"/>
    <w:rsid w:val="00D01FEB"/>
    <w:rsid w:val="00D03A14"/>
    <w:rsid w:val="00D07CD2"/>
    <w:rsid w:val="00D11442"/>
    <w:rsid w:val="00D1778B"/>
    <w:rsid w:val="00D22249"/>
    <w:rsid w:val="00D3351F"/>
    <w:rsid w:val="00D3358B"/>
    <w:rsid w:val="00D34B52"/>
    <w:rsid w:val="00D36DC4"/>
    <w:rsid w:val="00D37F67"/>
    <w:rsid w:val="00D50547"/>
    <w:rsid w:val="00D517E5"/>
    <w:rsid w:val="00D52AE2"/>
    <w:rsid w:val="00D550AA"/>
    <w:rsid w:val="00D563D9"/>
    <w:rsid w:val="00D57C44"/>
    <w:rsid w:val="00D61A43"/>
    <w:rsid w:val="00D621FC"/>
    <w:rsid w:val="00D651D7"/>
    <w:rsid w:val="00D655AF"/>
    <w:rsid w:val="00D676EF"/>
    <w:rsid w:val="00D853E3"/>
    <w:rsid w:val="00D94132"/>
    <w:rsid w:val="00D94FD0"/>
    <w:rsid w:val="00D9593F"/>
    <w:rsid w:val="00DA120A"/>
    <w:rsid w:val="00DA1C79"/>
    <w:rsid w:val="00DA27BE"/>
    <w:rsid w:val="00DA7509"/>
    <w:rsid w:val="00DA788A"/>
    <w:rsid w:val="00DB1C8F"/>
    <w:rsid w:val="00DB2850"/>
    <w:rsid w:val="00DB2C91"/>
    <w:rsid w:val="00DB2ECD"/>
    <w:rsid w:val="00DB34C7"/>
    <w:rsid w:val="00DC1F77"/>
    <w:rsid w:val="00DC21E1"/>
    <w:rsid w:val="00DC247A"/>
    <w:rsid w:val="00DC3EA0"/>
    <w:rsid w:val="00DC40E2"/>
    <w:rsid w:val="00DC4F50"/>
    <w:rsid w:val="00DC7CCD"/>
    <w:rsid w:val="00DD0C5C"/>
    <w:rsid w:val="00DD11C2"/>
    <w:rsid w:val="00DD16AF"/>
    <w:rsid w:val="00DD3B11"/>
    <w:rsid w:val="00DD60CB"/>
    <w:rsid w:val="00DD7A81"/>
    <w:rsid w:val="00DE0FC7"/>
    <w:rsid w:val="00DE1448"/>
    <w:rsid w:val="00DE1E94"/>
    <w:rsid w:val="00DE23B8"/>
    <w:rsid w:val="00DE39C8"/>
    <w:rsid w:val="00DE3E9E"/>
    <w:rsid w:val="00DE6508"/>
    <w:rsid w:val="00DE665A"/>
    <w:rsid w:val="00DF026E"/>
    <w:rsid w:val="00DF2EC7"/>
    <w:rsid w:val="00DF4501"/>
    <w:rsid w:val="00DF606A"/>
    <w:rsid w:val="00E01754"/>
    <w:rsid w:val="00E0230C"/>
    <w:rsid w:val="00E027E9"/>
    <w:rsid w:val="00E027F0"/>
    <w:rsid w:val="00E07E45"/>
    <w:rsid w:val="00E1333B"/>
    <w:rsid w:val="00E1436B"/>
    <w:rsid w:val="00E146D0"/>
    <w:rsid w:val="00E162CD"/>
    <w:rsid w:val="00E16735"/>
    <w:rsid w:val="00E17B7B"/>
    <w:rsid w:val="00E231ED"/>
    <w:rsid w:val="00E24422"/>
    <w:rsid w:val="00E26B48"/>
    <w:rsid w:val="00E3086C"/>
    <w:rsid w:val="00E309F2"/>
    <w:rsid w:val="00E31F19"/>
    <w:rsid w:val="00E3477F"/>
    <w:rsid w:val="00E35089"/>
    <w:rsid w:val="00E3519E"/>
    <w:rsid w:val="00E3611A"/>
    <w:rsid w:val="00E42A62"/>
    <w:rsid w:val="00E43645"/>
    <w:rsid w:val="00E4551C"/>
    <w:rsid w:val="00E46FAA"/>
    <w:rsid w:val="00E51D82"/>
    <w:rsid w:val="00E52661"/>
    <w:rsid w:val="00E532EE"/>
    <w:rsid w:val="00E55650"/>
    <w:rsid w:val="00E57748"/>
    <w:rsid w:val="00E73D9B"/>
    <w:rsid w:val="00E751D8"/>
    <w:rsid w:val="00E82380"/>
    <w:rsid w:val="00E8279E"/>
    <w:rsid w:val="00E83B8A"/>
    <w:rsid w:val="00E8665F"/>
    <w:rsid w:val="00E910D0"/>
    <w:rsid w:val="00E91500"/>
    <w:rsid w:val="00E923BA"/>
    <w:rsid w:val="00E926CC"/>
    <w:rsid w:val="00E9374A"/>
    <w:rsid w:val="00E955CE"/>
    <w:rsid w:val="00EA0007"/>
    <w:rsid w:val="00EA03DB"/>
    <w:rsid w:val="00EA44E1"/>
    <w:rsid w:val="00EA47D5"/>
    <w:rsid w:val="00EB7E08"/>
    <w:rsid w:val="00EC1DC1"/>
    <w:rsid w:val="00EC2B72"/>
    <w:rsid w:val="00EC461B"/>
    <w:rsid w:val="00EC4B1A"/>
    <w:rsid w:val="00EC54D6"/>
    <w:rsid w:val="00EC7FB2"/>
    <w:rsid w:val="00ED007E"/>
    <w:rsid w:val="00ED0803"/>
    <w:rsid w:val="00ED4439"/>
    <w:rsid w:val="00ED4AEB"/>
    <w:rsid w:val="00ED5CF6"/>
    <w:rsid w:val="00EE11AE"/>
    <w:rsid w:val="00EE2812"/>
    <w:rsid w:val="00EE2AC5"/>
    <w:rsid w:val="00EE3A50"/>
    <w:rsid w:val="00EE7405"/>
    <w:rsid w:val="00EF4733"/>
    <w:rsid w:val="00EF718C"/>
    <w:rsid w:val="00EF78EE"/>
    <w:rsid w:val="00F006C7"/>
    <w:rsid w:val="00F00AC7"/>
    <w:rsid w:val="00F00F17"/>
    <w:rsid w:val="00F018BD"/>
    <w:rsid w:val="00F01ECE"/>
    <w:rsid w:val="00F03470"/>
    <w:rsid w:val="00F063E8"/>
    <w:rsid w:val="00F07515"/>
    <w:rsid w:val="00F120B9"/>
    <w:rsid w:val="00F12E45"/>
    <w:rsid w:val="00F13CFA"/>
    <w:rsid w:val="00F21E4C"/>
    <w:rsid w:val="00F232AC"/>
    <w:rsid w:val="00F26721"/>
    <w:rsid w:val="00F31461"/>
    <w:rsid w:val="00F35B68"/>
    <w:rsid w:val="00F416EF"/>
    <w:rsid w:val="00F42DF9"/>
    <w:rsid w:val="00F451C9"/>
    <w:rsid w:val="00F45789"/>
    <w:rsid w:val="00F504C9"/>
    <w:rsid w:val="00F52C1C"/>
    <w:rsid w:val="00F5328F"/>
    <w:rsid w:val="00F560FB"/>
    <w:rsid w:val="00F57821"/>
    <w:rsid w:val="00F5785E"/>
    <w:rsid w:val="00F60522"/>
    <w:rsid w:val="00F6425E"/>
    <w:rsid w:val="00F65B76"/>
    <w:rsid w:val="00F70AE6"/>
    <w:rsid w:val="00F736DD"/>
    <w:rsid w:val="00F75138"/>
    <w:rsid w:val="00F761AD"/>
    <w:rsid w:val="00F80404"/>
    <w:rsid w:val="00F814DB"/>
    <w:rsid w:val="00F830B9"/>
    <w:rsid w:val="00F8392F"/>
    <w:rsid w:val="00F84D68"/>
    <w:rsid w:val="00F86BC2"/>
    <w:rsid w:val="00F90E51"/>
    <w:rsid w:val="00F9377F"/>
    <w:rsid w:val="00FA0FCC"/>
    <w:rsid w:val="00FA355E"/>
    <w:rsid w:val="00FA5483"/>
    <w:rsid w:val="00FA616C"/>
    <w:rsid w:val="00FB0E2B"/>
    <w:rsid w:val="00FB2DFC"/>
    <w:rsid w:val="00FB5788"/>
    <w:rsid w:val="00FB76B2"/>
    <w:rsid w:val="00FC2F38"/>
    <w:rsid w:val="00FC4F0E"/>
    <w:rsid w:val="00FD315E"/>
    <w:rsid w:val="00FD3C1D"/>
    <w:rsid w:val="00FD443C"/>
    <w:rsid w:val="00FE4D46"/>
    <w:rsid w:val="00FF0799"/>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790A4"/>
  <w15:docId w15:val="{3AC88522-550B-434C-A458-0BF2708F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Heading"/>
    <w:basedOn w:val="Normal"/>
    <w:next w:val="Normal"/>
    <w:link w:val="Heading1Char"/>
    <w:uiPriority w:val="9"/>
    <w:qFormat/>
    <w:rsid w:val="009D5FC6"/>
    <w:pPr>
      <w:keepNext/>
      <w:pBdr>
        <w:bottom w:val="single" w:sz="8" w:space="3" w:color="4F81BD" w:themeColor="accent1"/>
      </w:pBdr>
      <w:spacing w:before="360" w:after="240" w:line="240" w:lineRule="auto"/>
      <w:outlineLvl w:val="0"/>
    </w:pPr>
    <w:rPr>
      <w:rFonts w:asciiTheme="majorHAnsi" w:hAnsiTheme="majorHAnsi" w:cstheme="majorHAnsi"/>
      <w:b/>
      <w:kern w:val="14"/>
      <w:sz w:val="30"/>
      <w:szCs w:val="18"/>
      <w:lang w:val="en-GB"/>
    </w:rPr>
  </w:style>
  <w:style w:type="paragraph" w:styleId="Heading2">
    <w:name w:val="heading 2"/>
    <w:aliases w:val="~SubHeading"/>
    <w:basedOn w:val="Heading1"/>
    <w:next w:val="Normal"/>
    <w:link w:val="Heading2Char"/>
    <w:uiPriority w:val="9"/>
    <w:unhideWhenUsed/>
    <w:qFormat/>
    <w:rsid w:val="009D5FC6"/>
    <w:pPr>
      <w:numPr>
        <w:ilvl w:val="1"/>
      </w:numPr>
      <w:pBdr>
        <w:bottom w:val="none" w:sz="0" w:space="0" w:color="auto"/>
      </w:pBdr>
      <w:spacing w:before="240" w:after="120"/>
      <w:outlineLvl w:val="1"/>
    </w:pPr>
    <w:rPr>
      <w:sz w:val="26"/>
    </w:rPr>
  </w:style>
  <w:style w:type="paragraph" w:styleId="Heading3">
    <w:name w:val="heading 3"/>
    <w:basedOn w:val="Normal"/>
    <w:next w:val="Normal"/>
    <w:link w:val="Heading3Char"/>
    <w:uiPriority w:val="9"/>
    <w:semiHidden/>
    <w:unhideWhenUsed/>
    <w:qFormat/>
    <w:rsid w:val="007C2A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Heading Char"/>
    <w:basedOn w:val="DefaultParagraphFont"/>
    <w:link w:val="Heading1"/>
    <w:uiPriority w:val="9"/>
    <w:rsid w:val="009D5FC6"/>
    <w:rPr>
      <w:rFonts w:asciiTheme="majorHAnsi" w:hAnsiTheme="majorHAnsi" w:cstheme="majorHAnsi"/>
      <w:b/>
      <w:kern w:val="14"/>
      <w:sz w:val="30"/>
      <w:szCs w:val="18"/>
      <w:lang w:val="en-GB"/>
    </w:rPr>
  </w:style>
  <w:style w:type="character" w:customStyle="1" w:styleId="Heading2Char">
    <w:name w:val="Heading 2 Char"/>
    <w:aliases w:val="~SubHeading Char"/>
    <w:basedOn w:val="DefaultParagraphFont"/>
    <w:link w:val="Heading2"/>
    <w:uiPriority w:val="9"/>
    <w:rsid w:val="009D5FC6"/>
    <w:rPr>
      <w:rFonts w:asciiTheme="majorHAnsi" w:hAnsiTheme="majorHAnsi" w:cstheme="majorHAnsi"/>
      <w:b/>
      <w:kern w:val="14"/>
      <w:sz w:val="26"/>
      <w:szCs w:val="18"/>
      <w:lang w:val="en-GB"/>
    </w:rPr>
  </w:style>
  <w:style w:type="table" w:styleId="TableGrid">
    <w:name w:val="Table Grid"/>
    <w:basedOn w:val="TableNormal"/>
    <w:uiPriority w:val="59"/>
    <w:rsid w:val="009D5FC6"/>
    <w:pPr>
      <w:spacing w:after="0" w:line="240" w:lineRule="auto"/>
    </w:pPr>
    <w:rPr>
      <w:rFonts w:asciiTheme="majorHAnsi" w:hAnsiTheme="majorHAnsi" w:cstheme="majorHAnsi"/>
      <w:color w:val="000000" w:themeColor="text1"/>
      <w:kern w:val="14"/>
      <w:sz w:val="18"/>
      <w:szCs w:val="18"/>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aseStyle"/>
    <w:uiPriority w:val="1"/>
    <w:rsid w:val="009D5FC6"/>
    <w:pPr>
      <w:spacing w:after="0" w:line="240" w:lineRule="auto"/>
    </w:pPr>
    <w:rPr>
      <w:rFonts w:cstheme="majorHAnsi"/>
      <w:color w:val="1F497D" w:themeColor="text2"/>
      <w:kern w:val="14"/>
      <w:sz w:val="18"/>
      <w:szCs w:val="18"/>
      <w:lang w:val="en-GB"/>
    </w:rPr>
  </w:style>
  <w:style w:type="paragraph" w:customStyle="1" w:styleId="DocDate">
    <w:name w:val="~DocDate"/>
    <w:basedOn w:val="NoSpacing"/>
    <w:next w:val="Normal"/>
    <w:rsid w:val="009D5FC6"/>
    <w:pPr>
      <w:jc w:val="right"/>
    </w:pPr>
    <w:rPr>
      <w:b/>
    </w:rPr>
  </w:style>
  <w:style w:type="paragraph" w:customStyle="1" w:styleId="Title">
    <w:name w:val="~Title"/>
    <w:basedOn w:val="NoSpacing"/>
    <w:rsid w:val="009D5FC6"/>
    <w:rPr>
      <w:b/>
      <w:color w:val="4F81BD" w:themeColor="accent1"/>
      <w:sz w:val="48"/>
    </w:rPr>
  </w:style>
  <w:style w:type="paragraph" w:styleId="Caption">
    <w:name w:val="caption"/>
    <w:aliases w:val="~Caption"/>
    <w:basedOn w:val="Normal"/>
    <w:next w:val="Normal"/>
    <w:link w:val="CaptionChar"/>
    <w:qFormat/>
    <w:rsid w:val="009D5FC6"/>
    <w:pPr>
      <w:keepNext/>
      <w:pBdr>
        <w:top w:val="single" w:sz="4" w:space="2" w:color="EEECE1" w:themeColor="background2"/>
        <w:left w:val="single" w:sz="4" w:space="2" w:color="EEECE1" w:themeColor="background2"/>
        <w:bottom w:val="single" w:sz="4" w:space="2" w:color="EEECE1" w:themeColor="background2"/>
      </w:pBdr>
      <w:shd w:val="clear" w:color="auto" w:fill="EEECE1" w:themeFill="background2"/>
      <w:spacing w:before="60" w:after="0" w:line="240" w:lineRule="auto"/>
      <w:ind w:left="57" w:right="28"/>
    </w:pPr>
    <w:rPr>
      <w:rFonts w:asciiTheme="majorHAnsi" w:eastAsia="Calibri" w:hAnsiTheme="majorHAnsi" w:cs="Arial"/>
      <w:b/>
      <w:bCs/>
      <w:color w:val="000000" w:themeColor="text1"/>
      <w:kern w:val="14"/>
      <w:sz w:val="18"/>
      <w:szCs w:val="20"/>
      <w:lang w:val="en-GB"/>
    </w:rPr>
  </w:style>
  <w:style w:type="paragraph" w:customStyle="1" w:styleId="GraphicCentre">
    <w:name w:val="~GraphicCentre"/>
    <w:basedOn w:val="Normal"/>
    <w:rsid w:val="009D5FC6"/>
    <w:pPr>
      <w:spacing w:before="60" w:after="40" w:line="240" w:lineRule="auto"/>
      <w:jc w:val="center"/>
    </w:pPr>
    <w:rPr>
      <w:rFonts w:cstheme="majorHAnsi"/>
      <w:color w:val="1F497D" w:themeColor="text2"/>
      <w:kern w:val="14"/>
      <w:sz w:val="18"/>
      <w:szCs w:val="18"/>
      <w:lang w:val="en-GB"/>
    </w:rPr>
  </w:style>
  <w:style w:type="paragraph" w:customStyle="1" w:styleId="IntroText">
    <w:name w:val="~IntroText"/>
    <w:basedOn w:val="Normal"/>
    <w:next w:val="Normal"/>
    <w:qFormat/>
    <w:rsid w:val="009D5FC6"/>
    <w:pPr>
      <w:pBdr>
        <w:top w:val="single" w:sz="8" w:space="4" w:color="EEECE1" w:themeColor="background2"/>
        <w:left w:val="single" w:sz="8" w:space="4" w:color="EEECE1" w:themeColor="background2"/>
        <w:bottom w:val="single" w:sz="8" w:space="4" w:color="EEECE1" w:themeColor="background2"/>
        <w:right w:val="single" w:sz="8" w:space="4" w:color="EEECE1" w:themeColor="background2"/>
      </w:pBdr>
      <w:shd w:val="clear" w:color="auto" w:fill="EEECE1" w:themeFill="background2"/>
      <w:spacing w:after="240" w:line="312" w:lineRule="auto"/>
      <w:ind w:left="113" w:right="113"/>
    </w:pPr>
    <w:rPr>
      <w:rFonts w:asciiTheme="majorHAnsi" w:hAnsiTheme="majorHAnsi" w:cstheme="majorHAnsi"/>
      <w:b/>
      <w:color w:val="000000" w:themeColor="text1"/>
      <w:kern w:val="14"/>
      <w:sz w:val="18"/>
      <w:szCs w:val="18"/>
      <w:lang w:val="en-GB"/>
    </w:rPr>
  </w:style>
  <w:style w:type="paragraph" w:customStyle="1" w:styleId="Source">
    <w:name w:val="~Source"/>
    <w:basedOn w:val="Caption"/>
    <w:next w:val="Normal"/>
    <w:qFormat/>
    <w:rsid w:val="009D5FC6"/>
    <w:pPr>
      <w:keepNext w:val="0"/>
      <w:pBdr>
        <w:bottom w:val="single" w:sz="4" w:space="1" w:color="EEECE1" w:themeColor="background2"/>
      </w:pBdr>
      <w:spacing w:before="0"/>
    </w:pPr>
    <w:rPr>
      <w:b w:val="0"/>
      <w:sz w:val="16"/>
      <w:szCs w:val="16"/>
    </w:rPr>
  </w:style>
  <w:style w:type="paragraph" w:customStyle="1" w:styleId="Spacer">
    <w:name w:val="~Spacer"/>
    <w:basedOn w:val="NoSpacing"/>
    <w:rsid w:val="009D5FC6"/>
    <w:rPr>
      <w:rFonts w:ascii="Arial" w:hAnsi="Arial"/>
      <w:sz w:val="6"/>
    </w:rPr>
  </w:style>
  <w:style w:type="paragraph" w:customStyle="1" w:styleId="TableTextLeft">
    <w:name w:val="~TableTextLeft"/>
    <w:basedOn w:val="Normal"/>
    <w:link w:val="TableTextLeftChar"/>
    <w:qFormat/>
    <w:rsid w:val="009D5FC6"/>
    <w:pPr>
      <w:keepNext/>
      <w:spacing w:after="0" w:line="240" w:lineRule="auto"/>
    </w:pPr>
    <w:rPr>
      <w:rFonts w:ascii="Arial Narrow" w:hAnsi="Arial Narrow" w:cstheme="majorHAnsi"/>
      <w:color w:val="000000" w:themeColor="text1"/>
      <w:kern w:val="12"/>
      <w:sz w:val="16"/>
      <w:szCs w:val="18"/>
      <w:lang w:val="en-GB"/>
    </w:rPr>
  </w:style>
  <w:style w:type="paragraph" w:customStyle="1" w:styleId="TableBullet1">
    <w:name w:val="~TableBullet1"/>
    <w:basedOn w:val="TableTextLeft"/>
    <w:rsid w:val="009D5FC6"/>
    <w:pPr>
      <w:numPr>
        <w:numId w:val="1"/>
      </w:numPr>
    </w:pPr>
    <w:rPr>
      <w:rFonts w:eastAsia="Calibri" w:cs="Arial"/>
      <w:szCs w:val="20"/>
    </w:rPr>
  </w:style>
  <w:style w:type="paragraph" w:customStyle="1" w:styleId="TableHeadingLeft">
    <w:name w:val="~TableHeadingLeft"/>
    <w:basedOn w:val="TableTextLeft"/>
    <w:qFormat/>
    <w:rsid w:val="009D5FC6"/>
    <w:pPr>
      <w:spacing w:before="20" w:after="20"/>
    </w:pPr>
    <w:rPr>
      <w:b/>
      <w:szCs w:val="26"/>
    </w:rPr>
  </w:style>
  <w:style w:type="paragraph" w:customStyle="1" w:styleId="TableHeadingRight">
    <w:name w:val="~TableHeadingRight"/>
    <w:basedOn w:val="TableHeadingLeft"/>
    <w:qFormat/>
    <w:rsid w:val="009D5FC6"/>
    <w:pPr>
      <w:jc w:val="right"/>
    </w:pPr>
  </w:style>
  <w:style w:type="table" w:customStyle="1" w:styleId="TableStd">
    <w:name w:val="~TableStd"/>
    <w:basedOn w:val="TableNormal"/>
    <w:uiPriority w:val="99"/>
    <w:qFormat/>
    <w:rsid w:val="009D5FC6"/>
    <w:pPr>
      <w:spacing w:after="0" w:line="240" w:lineRule="auto"/>
    </w:pPr>
    <w:rPr>
      <w:rFonts w:asciiTheme="majorHAnsi" w:hAnsiTheme="majorHAnsi" w:cstheme="majorHAnsi"/>
      <w:color w:val="000000" w:themeColor="text1"/>
      <w:kern w:val="14"/>
      <w:sz w:val="20"/>
      <w:szCs w:val="18"/>
      <w:lang w:val="en-GB"/>
    </w:rPr>
    <w:tblPr>
      <w:tblInd w:w="57" w:type="dxa"/>
      <w:tblBorders>
        <w:top w:val="single" w:sz="4" w:space="0" w:color="4F81BD" w:themeColor="accent1"/>
        <w:bottom w:val="single" w:sz="4" w:space="0" w:color="4F81BD" w:themeColor="accent1"/>
        <w:insideH w:val="single" w:sz="4" w:space="0" w:color="F79646" w:themeColor="accent6"/>
      </w:tblBorders>
      <w:tblCellMar>
        <w:left w:w="57" w:type="dxa"/>
        <w:right w:w="57" w:type="dxa"/>
      </w:tblCellMar>
    </w:tblPr>
    <w:tblStylePr w:type="firstRow">
      <w:tblPr/>
      <w:tcPr>
        <w:tcBorders>
          <w:top w:val="single" w:sz="4" w:space="0" w:color="FFFFFF" w:themeColor="background1"/>
          <w:left w:val="nil"/>
          <w:bottom w:val="single" w:sz="4" w:space="0" w:color="4F81BD" w:themeColor="accent1"/>
          <w:right w:val="nil"/>
          <w:insideH w:val="nil"/>
          <w:insideV w:val="single" w:sz="4" w:space="0" w:color="FFFFFF" w:themeColor="background1"/>
        </w:tcBorders>
        <w:shd w:val="clear" w:color="auto" w:fill="EEECE1" w:themeFill="background2"/>
      </w:tcPr>
    </w:tblStylePr>
  </w:style>
  <w:style w:type="paragraph" w:customStyle="1" w:styleId="TableTextRight">
    <w:name w:val="~TableTextRight"/>
    <w:basedOn w:val="TableTextLeft"/>
    <w:rsid w:val="009D5FC6"/>
    <w:pPr>
      <w:jc w:val="right"/>
    </w:pPr>
  </w:style>
  <w:style w:type="paragraph" w:styleId="Footer">
    <w:name w:val="footer"/>
    <w:aliases w:val="~Footer"/>
    <w:basedOn w:val="NoSpacing"/>
    <w:link w:val="FooterChar"/>
    <w:uiPriority w:val="99"/>
    <w:rsid w:val="009D5FC6"/>
    <w:pPr>
      <w:tabs>
        <w:tab w:val="center" w:pos="4513"/>
        <w:tab w:val="right" w:pos="9026"/>
      </w:tabs>
    </w:pPr>
  </w:style>
  <w:style w:type="character" w:customStyle="1" w:styleId="FooterChar">
    <w:name w:val="Footer Char"/>
    <w:aliases w:val="~Footer Char"/>
    <w:basedOn w:val="DefaultParagraphFont"/>
    <w:link w:val="Footer"/>
    <w:uiPriority w:val="99"/>
    <w:rsid w:val="009D5FC6"/>
    <w:rPr>
      <w:rFonts w:cstheme="majorHAnsi"/>
      <w:color w:val="1F497D" w:themeColor="text2"/>
      <w:kern w:val="14"/>
      <w:sz w:val="18"/>
      <w:szCs w:val="18"/>
      <w:lang w:val="en-GB"/>
    </w:rPr>
  </w:style>
  <w:style w:type="paragraph" w:styleId="Header">
    <w:name w:val="header"/>
    <w:aliases w:val="~Header"/>
    <w:basedOn w:val="NoSpacing"/>
    <w:link w:val="HeaderChar"/>
    <w:uiPriority w:val="99"/>
    <w:rsid w:val="009D5FC6"/>
    <w:pPr>
      <w:spacing w:after="40"/>
    </w:pPr>
  </w:style>
  <w:style w:type="character" w:customStyle="1" w:styleId="HeaderChar">
    <w:name w:val="Header Char"/>
    <w:aliases w:val="~Header Char"/>
    <w:basedOn w:val="DefaultParagraphFont"/>
    <w:link w:val="Header"/>
    <w:uiPriority w:val="99"/>
    <w:rsid w:val="009D5FC6"/>
    <w:rPr>
      <w:rFonts w:cstheme="majorHAnsi"/>
      <w:color w:val="1F497D" w:themeColor="text2"/>
      <w:kern w:val="14"/>
      <w:sz w:val="18"/>
      <w:szCs w:val="18"/>
      <w:lang w:val="en-GB"/>
    </w:rPr>
  </w:style>
  <w:style w:type="character" w:customStyle="1" w:styleId="CaptionChar">
    <w:name w:val="Caption Char"/>
    <w:aliases w:val="~Caption Char"/>
    <w:basedOn w:val="DefaultParagraphFont"/>
    <w:link w:val="Caption"/>
    <w:rsid w:val="009D5FC6"/>
    <w:rPr>
      <w:rFonts w:asciiTheme="majorHAnsi" w:eastAsia="Calibri" w:hAnsiTheme="majorHAnsi" w:cs="Arial"/>
      <w:b/>
      <w:bCs/>
      <w:color w:val="000000" w:themeColor="text1"/>
      <w:kern w:val="14"/>
      <w:sz w:val="18"/>
      <w:szCs w:val="20"/>
      <w:shd w:val="clear" w:color="auto" w:fill="EEECE1" w:themeFill="background2"/>
      <w:lang w:val="en-GB"/>
    </w:rPr>
  </w:style>
  <w:style w:type="paragraph" w:customStyle="1" w:styleId="KeyStat">
    <w:name w:val="~KeyStat"/>
    <w:basedOn w:val="Normal"/>
    <w:rsid w:val="009D5FC6"/>
    <w:pPr>
      <w:spacing w:before="20" w:after="40" w:line="264" w:lineRule="auto"/>
    </w:pPr>
    <w:rPr>
      <w:rFonts w:asciiTheme="majorHAnsi" w:hAnsiTheme="majorHAnsi" w:cstheme="majorHAnsi"/>
      <w:b/>
      <w:color w:val="4F81BD" w:themeColor="accent1"/>
      <w:kern w:val="14"/>
      <w:szCs w:val="18"/>
      <w:lang w:val="en-GB"/>
    </w:rPr>
  </w:style>
  <w:style w:type="paragraph" w:customStyle="1" w:styleId="KeyData">
    <w:name w:val="~KeyData"/>
    <w:basedOn w:val="KeyStat"/>
    <w:rsid w:val="009D5FC6"/>
    <w:pPr>
      <w:framePr w:wrap="around" w:hAnchor="text"/>
      <w:jc w:val="right"/>
    </w:pPr>
  </w:style>
  <w:style w:type="paragraph" w:customStyle="1" w:styleId="Email">
    <w:name w:val="~Email"/>
    <w:basedOn w:val="NoSpacing"/>
    <w:rsid w:val="009D5FC6"/>
    <w:pPr>
      <w:framePr w:hSpace="181" w:wrap="around" w:vAnchor="text" w:hAnchor="page" w:x="8364" w:y="1"/>
    </w:pPr>
    <w:rPr>
      <w:sz w:val="14"/>
    </w:rPr>
  </w:style>
  <w:style w:type="paragraph" w:customStyle="1" w:styleId="LastPgDisclaimer">
    <w:name w:val="~LastPgDisclaimer"/>
    <w:basedOn w:val="NoSpacing"/>
    <w:rsid w:val="009D5FC6"/>
    <w:pPr>
      <w:spacing w:before="60" w:after="60"/>
    </w:pPr>
    <w:rPr>
      <w:rFonts w:ascii="Arial Narrow" w:hAnsi="Arial Narrow"/>
      <w:sz w:val="12"/>
    </w:rPr>
  </w:style>
  <w:style w:type="paragraph" w:customStyle="1" w:styleId="LastPgAddress">
    <w:name w:val="~LastPgAddress"/>
    <w:basedOn w:val="TableTextLeft"/>
    <w:rsid w:val="009D5FC6"/>
    <w:pPr>
      <w:spacing w:before="20"/>
    </w:pPr>
    <w:rPr>
      <w:sz w:val="12"/>
    </w:rPr>
  </w:style>
  <w:style w:type="paragraph" w:customStyle="1" w:styleId="PageWarning">
    <w:name w:val="~PageWarning"/>
    <w:basedOn w:val="Header"/>
    <w:rsid w:val="009D5FC6"/>
    <w:rPr>
      <w:b/>
      <w:color w:val="FF0000"/>
      <w:sz w:val="26"/>
    </w:rPr>
  </w:style>
  <w:style w:type="paragraph" w:customStyle="1" w:styleId="BusiDescript">
    <w:name w:val="~BusiDescript"/>
    <w:basedOn w:val="TableTextLeft"/>
    <w:rsid w:val="009D5FC6"/>
    <w:pPr>
      <w:spacing w:before="80" w:line="288" w:lineRule="auto"/>
    </w:pPr>
    <w:rPr>
      <w:color w:val="auto"/>
    </w:rPr>
  </w:style>
  <w:style w:type="character" w:styleId="Hyperlink">
    <w:name w:val="Hyperlink"/>
    <w:aliases w:val="~Hyperlink"/>
    <w:basedOn w:val="DefaultParagraphFont"/>
    <w:uiPriority w:val="99"/>
    <w:rsid w:val="009D5FC6"/>
    <w:rPr>
      <w:color w:val="4F81BD" w:themeColor="accent1"/>
      <w:u w:val="single"/>
    </w:rPr>
  </w:style>
  <w:style w:type="character" w:customStyle="1" w:styleId="TableTextLeftChar">
    <w:name w:val="~TableTextLeft Char"/>
    <w:basedOn w:val="DefaultParagraphFont"/>
    <w:link w:val="TableTextLeft"/>
    <w:rsid w:val="009D5FC6"/>
    <w:rPr>
      <w:rFonts w:ascii="Arial Narrow" w:hAnsi="Arial Narrow" w:cstheme="majorHAnsi"/>
      <w:color w:val="000000" w:themeColor="text1"/>
      <w:kern w:val="12"/>
      <w:sz w:val="16"/>
      <w:szCs w:val="18"/>
      <w:lang w:val="en-GB"/>
    </w:rPr>
  </w:style>
  <w:style w:type="paragraph" w:styleId="BalloonText">
    <w:name w:val="Balloon Text"/>
    <w:basedOn w:val="Normal"/>
    <w:link w:val="BalloonTextChar"/>
    <w:uiPriority w:val="99"/>
    <w:semiHidden/>
    <w:unhideWhenUsed/>
    <w:rsid w:val="00E30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9F2"/>
    <w:rPr>
      <w:rFonts w:ascii="Tahoma" w:hAnsi="Tahoma" w:cs="Tahoma"/>
      <w:sz w:val="16"/>
      <w:szCs w:val="16"/>
    </w:rPr>
  </w:style>
  <w:style w:type="character" w:customStyle="1" w:styleId="Heading3Char">
    <w:name w:val="Heading 3 Char"/>
    <w:basedOn w:val="DefaultParagraphFont"/>
    <w:link w:val="Heading3"/>
    <w:uiPriority w:val="9"/>
    <w:semiHidden/>
    <w:rsid w:val="007C2AE9"/>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EE11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11AE"/>
    <w:rPr>
      <w:sz w:val="20"/>
      <w:szCs w:val="20"/>
    </w:rPr>
  </w:style>
  <w:style w:type="character" w:styleId="FootnoteReference">
    <w:name w:val="footnote reference"/>
    <w:basedOn w:val="DefaultParagraphFont"/>
    <w:uiPriority w:val="99"/>
    <w:semiHidden/>
    <w:unhideWhenUsed/>
    <w:rsid w:val="00EE11AE"/>
    <w:rPr>
      <w:vertAlign w:val="superscript"/>
    </w:rPr>
  </w:style>
  <w:style w:type="paragraph" w:styleId="ListParagraph">
    <w:name w:val="List Paragraph"/>
    <w:basedOn w:val="Normal"/>
    <w:uiPriority w:val="34"/>
    <w:qFormat/>
    <w:rsid w:val="004124A6"/>
    <w:pPr>
      <w:spacing w:before="120" w:after="0" w:line="312" w:lineRule="auto"/>
      <w:ind w:left="720"/>
      <w:contextualSpacing/>
    </w:pPr>
    <w:rPr>
      <w:rFonts w:ascii="Arial" w:hAnsi="Arial" w:cstheme="majorHAnsi"/>
      <w:color w:val="000000" w:themeColor="text1"/>
      <w:kern w:val="14"/>
      <w:sz w:val="18"/>
      <w:szCs w:val="18"/>
      <w:lang w:val="en-GB"/>
    </w:rPr>
  </w:style>
  <w:style w:type="character" w:styleId="UnresolvedMention">
    <w:name w:val="Unresolved Mention"/>
    <w:basedOn w:val="DefaultParagraphFont"/>
    <w:uiPriority w:val="99"/>
    <w:semiHidden/>
    <w:unhideWhenUsed/>
    <w:rsid w:val="009427EF"/>
    <w:rPr>
      <w:color w:val="605E5C"/>
      <w:shd w:val="clear" w:color="auto" w:fill="E1DFDD"/>
    </w:rPr>
  </w:style>
  <w:style w:type="paragraph" w:customStyle="1" w:styleId="Consensusestimates">
    <w:name w:val="Consensus estimates"/>
    <w:basedOn w:val="Caption"/>
    <w:qFormat/>
    <w:rsid w:val="0064502D"/>
    <w:pPr>
      <w:framePr w:hSpace="181" w:wrap="around" w:hAnchor="text" w:yAlign="bottom"/>
    </w:pPr>
  </w:style>
  <w:style w:type="character" w:styleId="FollowedHyperlink">
    <w:name w:val="FollowedHyperlink"/>
    <w:basedOn w:val="DefaultParagraphFont"/>
    <w:uiPriority w:val="99"/>
    <w:semiHidden/>
    <w:unhideWhenUsed/>
    <w:rsid w:val="00B42F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884727">
      <w:bodyDiv w:val="1"/>
      <w:marLeft w:val="0"/>
      <w:marRight w:val="0"/>
      <w:marTop w:val="0"/>
      <w:marBottom w:val="0"/>
      <w:divBdr>
        <w:top w:val="none" w:sz="0" w:space="0" w:color="auto"/>
        <w:left w:val="none" w:sz="0" w:space="0" w:color="auto"/>
        <w:bottom w:val="none" w:sz="0" w:space="0" w:color="auto"/>
        <w:right w:val="none" w:sz="0" w:space="0" w:color="auto"/>
      </w:divBdr>
    </w:div>
    <w:div w:id="952248732">
      <w:bodyDiv w:val="1"/>
      <w:marLeft w:val="0"/>
      <w:marRight w:val="0"/>
      <w:marTop w:val="0"/>
      <w:marBottom w:val="0"/>
      <w:divBdr>
        <w:top w:val="none" w:sz="0" w:space="0" w:color="auto"/>
        <w:left w:val="none" w:sz="0" w:space="0" w:color="auto"/>
        <w:bottom w:val="none" w:sz="0" w:space="0" w:color="auto"/>
        <w:right w:val="none" w:sz="0" w:space="0" w:color="auto"/>
      </w:divBdr>
    </w:div>
    <w:div w:id="1302882038">
      <w:bodyDiv w:val="1"/>
      <w:marLeft w:val="0"/>
      <w:marRight w:val="0"/>
      <w:marTop w:val="0"/>
      <w:marBottom w:val="0"/>
      <w:divBdr>
        <w:top w:val="none" w:sz="0" w:space="0" w:color="auto"/>
        <w:left w:val="none" w:sz="0" w:space="0" w:color="auto"/>
        <w:bottom w:val="none" w:sz="0" w:space="0" w:color="auto"/>
        <w:right w:val="none" w:sz="0" w:space="0" w:color="auto"/>
      </w:divBdr>
    </w:div>
    <w:div w:id="1613248953">
      <w:bodyDiv w:val="1"/>
      <w:marLeft w:val="0"/>
      <w:marRight w:val="0"/>
      <w:marTop w:val="0"/>
      <w:marBottom w:val="0"/>
      <w:divBdr>
        <w:top w:val="none" w:sz="0" w:space="0" w:color="auto"/>
        <w:left w:val="none" w:sz="0" w:space="0" w:color="auto"/>
        <w:bottom w:val="none" w:sz="0" w:space="0" w:color="auto"/>
        <w:right w:val="none" w:sz="0" w:space="0" w:color="auto"/>
      </w:divBdr>
    </w:div>
    <w:div w:id="168987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afca.org.au" TargetMode="External"/><Relationship Id="rId4" Type="http://schemas.openxmlformats.org/officeDocument/2006/relationships/settings" Target="settings.xml"/><Relationship Id="rId9" Type="http://schemas.openxmlformats.org/officeDocument/2006/relationships/hyperlink" Target="http://www.afca.org.a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0000"/>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7448C-23D7-4F10-A255-57FCC5921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1739</Words>
  <Characters>9913</Characters>
  <Application>Microsoft Office Word</Application>
  <DocSecurity>4</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finola.burke@raasgroup.com;moira.daw@raasgroup.com</dc:creator>
  <cp:lastModifiedBy>Finola Burke</cp:lastModifiedBy>
  <cp:revision>2</cp:revision>
  <cp:lastPrinted>2019-10-04T03:23:00Z</cp:lastPrinted>
  <dcterms:created xsi:type="dcterms:W3CDTF">2021-03-03T04:20:00Z</dcterms:created>
  <dcterms:modified xsi:type="dcterms:W3CDTF">2021-03-03T04:20:00Z</dcterms:modified>
</cp:coreProperties>
</file>