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vertAnchor="text" w:horzAnchor="page" w:tblpX="8141" w:tblpY="1"/>
        <w:tblW w:w="339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57" w:type="dxa"/>
          <w:left w:w="57" w:type="dxa"/>
          <w:bottom w:w="57" w:type="dxa"/>
          <w:right w:w="57" w:type="dxa"/>
        </w:tblCellMar>
        <w:tblLook w:val="04A0" w:firstRow="1" w:lastRow="0" w:firstColumn="1" w:lastColumn="0" w:noHBand="0" w:noVBand="1"/>
      </w:tblPr>
      <w:tblGrid>
        <w:gridCol w:w="3392"/>
      </w:tblGrid>
      <w:tr w:rsidR="009D5FC6" w14:paraId="6C58271A" w14:textId="77777777" w:rsidTr="001873FD">
        <w:trPr>
          <w:trHeight w:val="13815"/>
        </w:trPr>
        <w:tc>
          <w:tcPr>
            <w:tcW w:w="3392" w:type="dxa"/>
          </w:tcPr>
          <w:p w14:paraId="5794769E" w14:textId="77777777" w:rsidR="009D5FC6" w:rsidRPr="00606EA3" w:rsidRDefault="009A385C" w:rsidP="00CD2F98">
            <w:pPr>
              <w:pStyle w:val="Caption"/>
              <w:rPr>
                <w:color w:val="FF0000"/>
                <w:sz w:val="16"/>
                <w:szCs w:val="16"/>
              </w:rPr>
            </w:pPr>
            <w:bookmarkStart w:id="0" w:name="BM_FistPageLeftTable" w:colFirst="0" w:colLast="0"/>
            <w:r w:rsidRPr="00606EA3">
              <w:rPr>
                <w:color w:val="FF0000"/>
                <w:sz w:val="16"/>
                <w:szCs w:val="16"/>
              </w:rPr>
              <w:t>Share</w:t>
            </w:r>
            <w:r w:rsidR="009D5FC6" w:rsidRPr="00606EA3">
              <w:rPr>
                <w:color w:val="FF0000"/>
                <w:sz w:val="16"/>
                <w:szCs w:val="16"/>
              </w:rPr>
              <w:t xml:space="preserve">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638"/>
              <w:gridCol w:w="1640"/>
            </w:tblGrid>
            <w:tr w:rsidR="002866D6" w14:paraId="033CAB3E" w14:textId="77777777" w:rsidTr="00606EA3">
              <w:trPr>
                <w:cantSplit/>
                <w:trHeight w:val="115"/>
              </w:trPr>
              <w:tc>
                <w:tcPr>
                  <w:tcW w:w="1613" w:type="dxa"/>
                  <w:tcMar>
                    <w:top w:w="57" w:type="dxa"/>
                    <w:bottom w:w="57" w:type="dxa"/>
                  </w:tcMar>
                </w:tcPr>
                <w:p w14:paraId="7597714C" w14:textId="77777777" w:rsidR="002866D6" w:rsidRDefault="002866D6" w:rsidP="004B7A0B">
                  <w:pPr>
                    <w:pStyle w:val="TableTextLeft"/>
                    <w:framePr w:hSpace="181" w:wrap="around" w:vAnchor="text" w:hAnchor="page" w:x="8141" w:y="1"/>
                  </w:pPr>
                  <w:bookmarkStart w:id="1" w:name="BM_DocEventTable" w:colFirst="0" w:colLast="1"/>
                  <w:r>
                    <w:t>ASX Code</w:t>
                  </w:r>
                </w:p>
              </w:tc>
              <w:tc>
                <w:tcPr>
                  <w:tcW w:w="1615" w:type="dxa"/>
                  <w:tcMar>
                    <w:top w:w="57" w:type="dxa"/>
                    <w:bottom w:w="57" w:type="dxa"/>
                  </w:tcMar>
                </w:tcPr>
                <w:p w14:paraId="4DE27203" w14:textId="0AD3D783" w:rsidR="002866D6" w:rsidRDefault="001B3CF6" w:rsidP="004B7A0B">
                  <w:pPr>
                    <w:pStyle w:val="TableTextRight"/>
                    <w:framePr w:hSpace="181" w:wrap="around" w:vAnchor="text" w:hAnchor="page" w:x="8141" w:y="1"/>
                  </w:pPr>
                  <w:r>
                    <w:t>DXN</w:t>
                  </w:r>
                </w:p>
              </w:tc>
            </w:tr>
            <w:tr w:rsidR="002866D6" w14:paraId="40EFF59F" w14:textId="77777777" w:rsidTr="006711E1">
              <w:trPr>
                <w:cantSplit/>
                <w:trHeight w:val="20"/>
              </w:trPr>
              <w:tc>
                <w:tcPr>
                  <w:tcW w:w="1613" w:type="dxa"/>
                  <w:tcMar>
                    <w:top w:w="57" w:type="dxa"/>
                    <w:bottom w:w="57" w:type="dxa"/>
                  </w:tcMar>
                </w:tcPr>
                <w:p w14:paraId="49822E4F" w14:textId="77777777" w:rsidR="002866D6" w:rsidRDefault="002866D6" w:rsidP="004B7A0B">
                  <w:pPr>
                    <w:pStyle w:val="TableTextLeft"/>
                    <w:framePr w:hSpace="181" w:wrap="around" w:vAnchor="text" w:hAnchor="page" w:x="8141" w:y="1"/>
                  </w:pPr>
                  <w:r>
                    <w:t>Share Price</w:t>
                  </w:r>
                  <w:r w:rsidR="002A6703">
                    <w:t xml:space="preserve"> </w:t>
                  </w:r>
                </w:p>
              </w:tc>
              <w:tc>
                <w:tcPr>
                  <w:tcW w:w="1615" w:type="dxa"/>
                  <w:tcMar>
                    <w:top w:w="57" w:type="dxa"/>
                    <w:bottom w:w="57" w:type="dxa"/>
                  </w:tcMar>
                </w:tcPr>
                <w:p w14:paraId="22375CCD" w14:textId="4C96E2AF" w:rsidR="002866D6" w:rsidRDefault="002866D6" w:rsidP="004B7A0B">
                  <w:pPr>
                    <w:pStyle w:val="TableTextRight"/>
                    <w:framePr w:hSpace="181" w:wrap="around" w:vAnchor="text" w:hAnchor="page" w:x="8141" w:y="1"/>
                  </w:pPr>
                  <w:r>
                    <w:t>$</w:t>
                  </w:r>
                  <w:r w:rsidR="00B66C83">
                    <w:t>0.</w:t>
                  </w:r>
                  <w:r w:rsidR="001B3CF6">
                    <w:t>05</w:t>
                  </w:r>
                  <w:r w:rsidR="00C327FD">
                    <w:t>6</w:t>
                  </w:r>
                </w:p>
              </w:tc>
            </w:tr>
            <w:tr w:rsidR="002866D6" w14:paraId="76E75BA4" w14:textId="77777777" w:rsidTr="00606EA3">
              <w:trPr>
                <w:cantSplit/>
                <w:trHeight w:val="20"/>
              </w:trPr>
              <w:tc>
                <w:tcPr>
                  <w:tcW w:w="1613" w:type="dxa"/>
                  <w:tcMar>
                    <w:top w:w="57" w:type="dxa"/>
                    <w:bottom w:w="57" w:type="dxa"/>
                  </w:tcMar>
                </w:tcPr>
                <w:p w14:paraId="50AEA3BC" w14:textId="77777777" w:rsidR="002866D6" w:rsidRDefault="002866D6" w:rsidP="004B7A0B">
                  <w:pPr>
                    <w:pStyle w:val="TableTextLeft"/>
                    <w:framePr w:hSpace="181" w:wrap="around" w:vAnchor="text" w:hAnchor="page" w:x="8141" w:y="1"/>
                  </w:pPr>
                  <w:r>
                    <w:t>Market Capitalisation</w:t>
                  </w:r>
                </w:p>
              </w:tc>
              <w:tc>
                <w:tcPr>
                  <w:tcW w:w="1615" w:type="dxa"/>
                  <w:tcMar>
                    <w:top w:w="57" w:type="dxa"/>
                    <w:bottom w:w="57" w:type="dxa"/>
                  </w:tcMar>
                </w:tcPr>
                <w:p w14:paraId="56CC4E5E" w14:textId="77B337FE" w:rsidR="002866D6" w:rsidRDefault="002866D6" w:rsidP="004B7A0B">
                  <w:pPr>
                    <w:pStyle w:val="TableTextRight"/>
                    <w:framePr w:hSpace="181" w:wrap="around" w:vAnchor="text" w:hAnchor="page" w:x="8141" w:y="1"/>
                  </w:pPr>
                  <w:r>
                    <w:t>$</w:t>
                  </w:r>
                  <w:r w:rsidR="000F511C">
                    <w:t>19.</w:t>
                  </w:r>
                  <w:r w:rsidR="00F736DD">
                    <w:t>9</w:t>
                  </w:r>
                  <w:r w:rsidR="008412C2">
                    <w:t>M</w:t>
                  </w:r>
                </w:p>
              </w:tc>
            </w:tr>
            <w:tr w:rsidR="002866D6" w14:paraId="1C0FAC04" w14:textId="77777777" w:rsidTr="006711E1">
              <w:trPr>
                <w:cantSplit/>
                <w:trHeight w:val="20"/>
              </w:trPr>
              <w:tc>
                <w:tcPr>
                  <w:tcW w:w="1613" w:type="dxa"/>
                  <w:tcMar>
                    <w:top w:w="57" w:type="dxa"/>
                    <w:bottom w:w="57" w:type="dxa"/>
                  </w:tcMar>
                </w:tcPr>
                <w:p w14:paraId="24B38735" w14:textId="77777777" w:rsidR="002866D6" w:rsidRPr="00AD4F56" w:rsidRDefault="002866D6" w:rsidP="004B7A0B">
                  <w:pPr>
                    <w:pStyle w:val="TableTextLeft"/>
                    <w:framePr w:hSpace="181" w:wrap="around" w:vAnchor="text" w:hAnchor="page" w:x="8141" w:y="1"/>
                  </w:pPr>
                  <w:r>
                    <w:t>Number of shares</w:t>
                  </w:r>
                </w:p>
              </w:tc>
              <w:tc>
                <w:tcPr>
                  <w:tcW w:w="1615" w:type="dxa"/>
                  <w:tcMar>
                    <w:top w:w="57" w:type="dxa"/>
                    <w:bottom w:w="57" w:type="dxa"/>
                  </w:tcMar>
                </w:tcPr>
                <w:p w14:paraId="1656D3FF" w14:textId="6F6FCF95" w:rsidR="002866D6" w:rsidRDefault="000F511C" w:rsidP="004B7A0B">
                  <w:pPr>
                    <w:pStyle w:val="TableTextRight"/>
                    <w:framePr w:hSpace="181" w:wrap="around" w:vAnchor="text" w:hAnchor="page" w:x="8141" w:y="1"/>
                  </w:pPr>
                  <w:r>
                    <w:t>361.27</w:t>
                  </w:r>
                  <w:r w:rsidR="00564ABE">
                    <w:t>M</w:t>
                  </w:r>
                </w:p>
              </w:tc>
            </w:tr>
            <w:tr w:rsidR="002866D6" w14:paraId="22C531F6" w14:textId="77777777" w:rsidTr="006711E1">
              <w:trPr>
                <w:cantSplit/>
                <w:trHeight w:val="20"/>
              </w:trPr>
              <w:tc>
                <w:tcPr>
                  <w:tcW w:w="1613" w:type="dxa"/>
                  <w:tcMar>
                    <w:top w:w="57" w:type="dxa"/>
                    <w:bottom w:w="57" w:type="dxa"/>
                  </w:tcMar>
                </w:tcPr>
                <w:p w14:paraId="2046C8C8" w14:textId="77777777" w:rsidR="002866D6" w:rsidRDefault="002866D6" w:rsidP="004B7A0B">
                  <w:pPr>
                    <w:pStyle w:val="TableTextLeft"/>
                    <w:framePr w:hSpace="181" w:wrap="around" w:vAnchor="text" w:hAnchor="page" w:x="8141" w:y="1"/>
                  </w:pPr>
                  <w:r>
                    <w:t>Enterprise Value</w:t>
                  </w:r>
                </w:p>
              </w:tc>
              <w:tc>
                <w:tcPr>
                  <w:tcW w:w="1615" w:type="dxa"/>
                  <w:tcMar>
                    <w:top w:w="57" w:type="dxa"/>
                    <w:bottom w:w="57" w:type="dxa"/>
                  </w:tcMar>
                </w:tcPr>
                <w:p w14:paraId="56916464" w14:textId="64070861" w:rsidR="002866D6" w:rsidRDefault="008274EC" w:rsidP="004B7A0B">
                  <w:pPr>
                    <w:pStyle w:val="TableTextRight"/>
                    <w:framePr w:hSpace="181" w:wrap="around" w:vAnchor="text" w:hAnchor="page" w:x="8141" w:y="1"/>
                  </w:pPr>
                  <w:r>
                    <w:t>~</w:t>
                  </w:r>
                  <w:r w:rsidR="00382FF7">
                    <w:t>$</w:t>
                  </w:r>
                  <w:r>
                    <w:t>10.</w:t>
                  </w:r>
                  <w:r w:rsidR="00F736DD">
                    <w:t>9</w:t>
                  </w:r>
                  <w:r w:rsidR="00477A60">
                    <w:t>M</w:t>
                  </w:r>
                </w:p>
              </w:tc>
            </w:tr>
            <w:tr w:rsidR="00EE3A50" w14:paraId="296A3B88" w14:textId="77777777" w:rsidTr="006711E1">
              <w:trPr>
                <w:cantSplit/>
                <w:trHeight w:val="20"/>
              </w:trPr>
              <w:tc>
                <w:tcPr>
                  <w:tcW w:w="1613" w:type="dxa"/>
                  <w:tcMar>
                    <w:top w:w="57" w:type="dxa"/>
                    <w:bottom w:w="57" w:type="dxa"/>
                  </w:tcMar>
                </w:tcPr>
                <w:p w14:paraId="021A77D9" w14:textId="77777777" w:rsidR="00EE3A50" w:rsidRDefault="00EE3A50" w:rsidP="004B7A0B">
                  <w:pPr>
                    <w:pStyle w:val="TableTextLeft"/>
                    <w:framePr w:hSpace="181" w:wrap="around" w:vAnchor="text" w:hAnchor="page" w:x="8141" w:y="1"/>
                  </w:pPr>
                  <w:r>
                    <w:t>Sector</w:t>
                  </w:r>
                </w:p>
              </w:tc>
              <w:tc>
                <w:tcPr>
                  <w:tcW w:w="1615" w:type="dxa"/>
                  <w:tcMar>
                    <w:top w:w="57" w:type="dxa"/>
                    <w:bottom w:w="57" w:type="dxa"/>
                  </w:tcMar>
                </w:tcPr>
                <w:p w14:paraId="4C746C44" w14:textId="77777777" w:rsidR="00EE3A50" w:rsidRDefault="004A22C5" w:rsidP="004B7A0B">
                  <w:pPr>
                    <w:pStyle w:val="TableTextRight"/>
                    <w:framePr w:hSpace="181" w:wrap="around" w:vAnchor="text" w:hAnchor="page" w:x="8141" w:y="1"/>
                  </w:pPr>
                  <w:r>
                    <w:t>Technology</w:t>
                  </w:r>
                </w:p>
              </w:tc>
            </w:tr>
            <w:tr w:rsidR="000B5962" w14:paraId="2E8D2305" w14:textId="77777777" w:rsidTr="006711E1">
              <w:trPr>
                <w:cantSplit/>
                <w:trHeight w:val="20"/>
              </w:trPr>
              <w:tc>
                <w:tcPr>
                  <w:tcW w:w="1613" w:type="dxa"/>
                  <w:tcMar>
                    <w:top w:w="57" w:type="dxa"/>
                    <w:bottom w:w="57" w:type="dxa"/>
                  </w:tcMar>
                </w:tcPr>
                <w:p w14:paraId="6B7A9E2E" w14:textId="77777777" w:rsidR="000B5962" w:rsidRDefault="000B5962" w:rsidP="004B7A0B">
                  <w:pPr>
                    <w:pStyle w:val="TableTextLeft"/>
                    <w:framePr w:hSpace="181" w:wrap="around" w:vAnchor="text" w:hAnchor="page" w:x="8141" w:y="1"/>
                  </w:pPr>
                  <w:r>
                    <w:t>Free Float</w:t>
                  </w:r>
                </w:p>
              </w:tc>
              <w:tc>
                <w:tcPr>
                  <w:tcW w:w="1615" w:type="dxa"/>
                  <w:tcMar>
                    <w:top w:w="57" w:type="dxa"/>
                    <w:bottom w:w="57" w:type="dxa"/>
                  </w:tcMar>
                </w:tcPr>
                <w:p w14:paraId="5A133961" w14:textId="38CE945E" w:rsidR="000B5962" w:rsidRDefault="00752E23" w:rsidP="004B7A0B">
                  <w:pPr>
                    <w:pStyle w:val="TableTextRight"/>
                    <w:framePr w:hSpace="181" w:wrap="around" w:vAnchor="text" w:hAnchor="page" w:x="8141" w:y="1"/>
                    <w:jc w:val="center"/>
                  </w:pPr>
                  <w:r>
                    <w:t xml:space="preserve">                                ~</w:t>
                  </w:r>
                  <w:r w:rsidR="004759D7">
                    <w:t>58</w:t>
                  </w:r>
                  <w:r w:rsidR="001F656E">
                    <w:t>%</w:t>
                  </w:r>
                </w:p>
              </w:tc>
            </w:tr>
          </w:tbl>
          <w:bookmarkEnd w:id="1"/>
          <w:p w14:paraId="7785360E" w14:textId="2DD22152" w:rsidR="009D5FC6" w:rsidRPr="00606EA3" w:rsidRDefault="000B5962" w:rsidP="009A385C">
            <w:pPr>
              <w:pStyle w:val="Caption"/>
              <w:rPr>
                <w:color w:val="FF0000"/>
                <w:sz w:val="16"/>
                <w:szCs w:val="16"/>
              </w:rPr>
            </w:pPr>
            <w:r w:rsidRPr="001D3B61">
              <w:rPr>
                <w:color w:val="FF0000"/>
                <w:sz w:val="16"/>
                <w:szCs w:val="16"/>
              </w:rPr>
              <w:t>Share price performance</w:t>
            </w:r>
            <w:r w:rsidR="0043419E" w:rsidRPr="001D3B61">
              <w:rPr>
                <w:color w:val="FF0000"/>
                <w:sz w:val="16"/>
                <w:szCs w:val="16"/>
              </w:rPr>
              <w:t xml:space="preserve"> (</w:t>
            </w:r>
            <w:r w:rsidR="00CA53E7">
              <w:rPr>
                <w:color w:val="FF0000"/>
                <w:sz w:val="16"/>
                <w:szCs w:val="16"/>
              </w:rPr>
              <w:t>12-months</w:t>
            </w:r>
            <w:r w:rsidR="0043419E" w:rsidRPr="001D3B61">
              <w:rPr>
                <w:color w:val="FF0000"/>
                <w:sz w:val="16"/>
                <w:szCs w:val="16"/>
              </w:rPr>
              <w:t>)</w:t>
            </w:r>
          </w:p>
          <w:tbl>
            <w:tblPr>
              <w:tblStyle w:val="TableGrid"/>
              <w:tblW w:w="3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tblGrid>
            <w:tr w:rsidR="00AB3EDE" w14:paraId="23C011AC" w14:textId="77777777" w:rsidTr="004662F8">
              <w:trPr>
                <w:trHeight w:hRule="exact" w:val="1584"/>
              </w:trPr>
              <w:tc>
                <w:tcPr>
                  <w:tcW w:w="3240" w:type="dxa"/>
                </w:tcPr>
                <w:p w14:paraId="4C779C9D" w14:textId="1B397FEB" w:rsidR="00D1778B" w:rsidRDefault="008F5935" w:rsidP="004B7A0B">
                  <w:pPr>
                    <w:pStyle w:val="BusiDescript"/>
                    <w:framePr w:hSpace="181" w:wrap="around" w:vAnchor="text" w:hAnchor="page" w:x="8141" w:y="1"/>
                    <w:jc w:val="center"/>
                  </w:pPr>
                  <w:r>
                    <w:rPr>
                      <w:noProof/>
                    </w:rPr>
                    <w:drawing>
                      <wp:inline distT="0" distB="0" distL="0" distR="0" wp14:anchorId="0F19266C" wp14:editId="327B8EF2">
                        <wp:extent cx="1936276" cy="95509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643" cy="969089"/>
                                </a:xfrm>
                                <a:prstGeom prst="rect">
                                  <a:avLst/>
                                </a:prstGeom>
                                <a:noFill/>
                              </pic:spPr>
                            </pic:pic>
                          </a:graphicData>
                        </a:graphic>
                      </wp:inline>
                    </w:drawing>
                  </w:r>
                </w:p>
              </w:tc>
            </w:tr>
          </w:tbl>
          <w:p w14:paraId="4982C930" w14:textId="77777777" w:rsidR="009D5FC6" w:rsidRPr="00606EA3" w:rsidRDefault="00C236A2" w:rsidP="00CD2F98">
            <w:pPr>
              <w:pStyle w:val="Caption"/>
              <w:rPr>
                <w:color w:val="FF0000"/>
                <w:sz w:val="16"/>
                <w:szCs w:val="16"/>
              </w:rPr>
            </w:pPr>
            <w:r w:rsidRPr="00606EA3">
              <w:rPr>
                <w:color w:val="FF0000"/>
                <w:sz w:val="16"/>
                <w:szCs w:val="16"/>
              </w:rPr>
              <w:t>Upside Case</w:t>
            </w:r>
          </w:p>
          <w:tbl>
            <w:tblPr>
              <w:tblStyle w:val="TableGrid"/>
              <w:tblW w:w="9684" w:type="dxa"/>
              <w:tblLayout w:type="fixed"/>
              <w:tblCellMar>
                <w:left w:w="57" w:type="dxa"/>
                <w:right w:w="57" w:type="dxa"/>
              </w:tblCellMar>
              <w:tblLook w:val="04A0" w:firstRow="1" w:lastRow="0" w:firstColumn="1" w:lastColumn="0" w:noHBand="0" w:noVBand="1"/>
            </w:tblPr>
            <w:tblGrid>
              <w:gridCol w:w="3228"/>
              <w:gridCol w:w="3229"/>
              <w:gridCol w:w="3227"/>
            </w:tblGrid>
            <w:tr w:rsidR="00645289" w14:paraId="643A4CCB" w14:textId="77777777" w:rsidTr="002866D6">
              <w:tc>
                <w:tcPr>
                  <w:tcW w:w="1667" w:type="pct"/>
                  <w:tcBorders>
                    <w:top w:val="nil"/>
                    <w:left w:val="nil"/>
                    <w:bottom w:val="nil"/>
                    <w:right w:val="nil"/>
                  </w:tcBorders>
                </w:tcPr>
                <w:p w14:paraId="396D1A65" w14:textId="79EAA32E" w:rsidR="00645289" w:rsidRDefault="00645289" w:rsidP="004B7A0B">
                  <w:pPr>
                    <w:pStyle w:val="TableBullet1"/>
                    <w:framePr w:hSpace="181" w:wrap="around" w:vAnchor="text" w:hAnchor="page" w:x="8141" w:y="1"/>
                    <w:numPr>
                      <w:ilvl w:val="0"/>
                      <w:numId w:val="13"/>
                    </w:numPr>
                  </w:pPr>
                  <w:r w:rsidRPr="008347DD">
                    <w:t>Edge Infrastructure and Manufacturing facility in Perth assists in early cashflows and has capacity to meet both internal and external customer demand</w:t>
                  </w:r>
                </w:p>
              </w:tc>
              <w:tc>
                <w:tcPr>
                  <w:tcW w:w="1667" w:type="pct"/>
                  <w:tcBorders>
                    <w:top w:val="nil"/>
                    <w:left w:val="nil"/>
                    <w:bottom w:val="nil"/>
                    <w:right w:val="nil"/>
                  </w:tcBorders>
                </w:tcPr>
                <w:p w14:paraId="299A6B03" w14:textId="77777777" w:rsidR="00645289" w:rsidRDefault="00645289" w:rsidP="004B7A0B">
                  <w:pPr>
                    <w:pStyle w:val="TableBullet1"/>
                    <w:framePr w:hSpace="181" w:wrap="around" w:vAnchor="text" w:hAnchor="page" w:x="8141" w:y="1"/>
                    <w:numPr>
                      <w:ilvl w:val="0"/>
                      <w:numId w:val="0"/>
                    </w:numPr>
                  </w:pPr>
                </w:p>
              </w:tc>
              <w:tc>
                <w:tcPr>
                  <w:tcW w:w="1666" w:type="pct"/>
                  <w:tcBorders>
                    <w:top w:val="nil"/>
                    <w:left w:val="nil"/>
                    <w:bottom w:val="nil"/>
                    <w:right w:val="nil"/>
                  </w:tcBorders>
                  <w:tcMar>
                    <w:top w:w="57" w:type="dxa"/>
                    <w:bottom w:w="57" w:type="dxa"/>
                  </w:tcMar>
                </w:tcPr>
                <w:p w14:paraId="24080F29" w14:textId="77777777" w:rsidR="00645289" w:rsidRPr="004F5245" w:rsidRDefault="00645289" w:rsidP="004B7A0B">
                  <w:pPr>
                    <w:pStyle w:val="TableBullet1"/>
                    <w:framePr w:hSpace="181" w:wrap="around" w:vAnchor="text" w:hAnchor="page" w:x="8141" w:y="1"/>
                    <w:numPr>
                      <w:ilvl w:val="0"/>
                      <w:numId w:val="3"/>
                    </w:numPr>
                    <w:rPr>
                      <w:color w:val="auto"/>
                    </w:rPr>
                  </w:pPr>
                  <w:bookmarkStart w:id="2" w:name="BM_DocAnaTable" w:colFirst="0" w:colLast="1"/>
                </w:p>
              </w:tc>
            </w:tr>
            <w:tr w:rsidR="00645289" w14:paraId="698F0C44" w14:textId="77777777" w:rsidTr="002866D6">
              <w:tc>
                <w:tcPr>
                  <w:tcW w:w="1667" w:type="pct"/>
                  <w:tcBorders>
                    <w:top w:val="nil"/>
                    <w:left w:val="nil"/>
                    <w:bottom w:val="nil"/>
                    <w:right w:val="nil"/>
                  </w:tcBorders>
                </w:tcPr>
                <w:p w14:paraId="2BA0EABA" w14:textId="7642CCC8" w:rsidR="00645289" w:rsidRDefault="00645289" w:rsidP="004B7A0B">
                  <w:pPr>
                    <w:pStyle w:val="TableBullet1"/>
                    <w:framePr w:hSpace="181" w:wrap="around" w:vAnchor="text" w:hAnchor="page" w:x="8141" w:y="1"/>
                    <w:numPr>
                      <w:ilvl w:val="0"/>
                      <w:numId w:val="13"/>
                    </w:numPr>
                  </w:pPr>
                  <w:r w:rsidRPr="008347DD">
                    <w:t>Capital light compared to traditional data centre operators as building 1MW at a time</w:t>
                  </w:r>
                </w:p>
              </w:tc>
              <w:tc>
                <w:tcPr>
                  <w:tcW w:w="1667" w:type="pct"/>
                  <w:tcBorders>
                    <w:top w:val="nil"/>
                    <w:left w:val="nil"/>
                    <w:bottom w:val="nil"/>
                    <w:right w:val="nil"/>
                  </w:tcBorders>
                </w:tcPr>
                <w:p w14:paraId="5759B963" w14:textId="77777777" w:rsidR="00645289" w:rsidRDefault="00645289" w:rsidP="004B7A0B">
                  <w:pPr>
                    <w:pStyle w:val="TableBullet1"/>
                    <w:framePr w:hSpace="181" w:wrap="around" w:vAnchor="text" w:hAnchor="page" w:x="8141" w:y="1"/>
                    <w:numPr>
                      <w:ilvl w:val="0"/>
                      <w:numId w:val="0"/>
                    </w:numPr>
                  </w:pPr>
                </w:p>
              </w:tc>
              <w:tc>
                <w:tcPr>
                  <w:tcW w:w="1666" w:type="pct"/>
                  <w:tcBorders>
                    <w:top w:val="nil"/>
                    <w:left w:val="nil"/>
                    <w:bottom w:val="nil"/>
                    <w:right w:val="nil"/>
                  </w:tcBorders>
                  <w:tcMar>
                    <w:top w:w="57" w:type="dxa"/>
                    <w:bottom w:w="57" w:type="dxa"/>
                  </w:tcMar>
                </w:tcPr>
                <w:p w14:paraId="2829E04F" w14:textId="77777777" w:rsidR="00645289" w:rsidRPr="004F5245" w:rsidRDefault="00645289" w:rsidP="004B7A0B">
                  <w:pPr>
                    <w:pStyle w:val="TableBullet1"/>
                    <w:framePr w:hSpace="181" w:wrap="around" w:vAnchor="text" w:hAnchor="page" w:x="8141" w:y="1"/>
                    <w:numPr>
                      <w:ilvl w:val="0"/>
                      <w:numId w:val="3"/>
                    </w:numPr>
                    <w:rPr>
                      <w:color w:val="auto"/>
                    </w:rPr>
                  </w:pPr>
                </w:p>
              </w:tc>
            </w:tr>
            <w:tr w:rsidR="00645289" w14:paraId="2A386155" w14:textId="77777777" w:rsidTr="002866D6">
              <w:tc>
                <w:tcPr>
                  <w:tcW w:w="1667" w:type="pct"/>
                  <w:tcBorders>
                    <w:top w:val="nil"/>
                    <w:left w:val="nil"/>
                    <w:bottom w:val="single" w:sz="4" w:space="0" w:color="FFFFFF" w:themeColor="background1"/>
                    <w:right w:val="nil"/>
                  </w:tcBorders>
                </w:tcPr>
                <w:p w14:paraId="2FD6772D" w14:textId="3A96A303" w:rsidR="00645289" w:rsidRDefault="00645289" w:rsidP="004B7A0B">
                  <w:pPr>
                    <w:pStyle w:val="TableBullet1"/>
                    <w:framePr w:hSpace="181" w:wrap="around" w:vAnchor="text" w:hAnchor="page" w:x="8141" w:y="1"/>
                    <w:numPr>
                      <w:ilvl w:val="0"/>
                      <w:numId w:val="13"/>
                    </w:numPr>
                  </w:pPr>
                  <w:r w:rsidRPr="008347DD">
                    <w:t>Modularised and smaller data centres will be critical to 5G mobile and the Internet of Things</w:t>
                  </w:r>
                </w:p>
              </w:tc>
              <w:tc>
                <w:tcPr>
                  <w:tcW w:w="1667" w:type="pct"/>
                  <w:tcBorders>
                    <w:top w:val="nil"/>
                    <w:left w:val="nil"/>
                    <w:bottom w:val="single" w:sz="4" w:space="0" w:color="FFFFFF" w:themeColor="background1"/>
                    <w:right w:val="nil"/>
                  </w:tcBorders>
                </w:tcPr>
                <w:p w14:paraId="51A6D775" w14:textId="77777777" w:rsidR="00645289" w:rsidRDefault="00645289" w:rsidP="004B7A0B">
                  <w:pPr>
                    <w:pStyle w:val="TableBullet1"/>
                    <w:framePr w:hSpace="181" w:wrap="around" w:vAnchor="text" w:hAnchor="page" w:x="8141" w:y="1"/>
                    <w:numPr>
                      <w:ilvl w:val="0"/>
                      <w:numId w:val="0"/>
                    </w:numPr>
                  </w:pPr>
                </w:p>
              </w:tc>
              <w:tc>
                <w:tcPr>
                  <w:tcW w:w="1666" w:type="pct"/>
                  <w:tcBorders>
                    <w:top w:val="nil"/>
                    <w:left w:val="nil"/>
                    <w:bottom w:val="nil"/>
                    <w:right w:val="nil"/>
                  </w:tcBorders>
                  <w:tcMar>
                    <w:top w:w="57" w:type="dxa"/>
                    <w:bottom w:w="57" w:type="dxa"/>
                  </w:tcMar>
                </w:tcPr>
                <w:p w14:paraId="08A482BE" w14:textId="77777777" w:rsidR="00645289" w:rsidRPr="004F5245" w:rsidRDefault="00645289" w:rsidP="004B7A0B">
                  <w:pPr>
                    <w:pStyle w:val="TableBullet1"/>
                    <w:framePr w:hSpace="181" w:wrap="around" w:vAnchor="text" w:hAnchor="page" w:x="8141" w:y="1"/>
                    <w:numPr>
                      <w:ilvl w:val="0"/>
                      <w:numId w:val="3"/>
                    </w:numPr>
                    <w:rPr>
                      <w:color w:val="auto"/>
                    </w:rPr>
                  </w:pPr>
                </w:p>
              </w:tc>
            </w:tr>
          </w:tbl>
          <w:bookmarkEnd w:id="2"/>
          <w:p w14:paraId="4FFAB718" w14:textId="77777777" w:rsidR="009D5FC6" w:rsidRPr="00606EA3" w:rsidRDefault="00C236A2" w:rsidP="00CD2F98">
            <w:pPr>
              <w:pStyle w:val="Caption"/>
              <w:rPr>
                <w:color w:val="FF0000"/>
                <w:sz w:val="16"/>
                <w:szCs w:val="16"/>
              </w:rPr>
            </w:pPr>
            <w:r w:rsidRPr="00606EA3">
              <w:rPr>
                <w:color w:val="FF0000"/>
                <w:sz w:val="16"/>
                <w:szCs w:val="16"/>
              </w:rPr>
              <w:t>Downside Case</w:t>
            </w:r>
          </w:p>
          <w:tbl>
            <w:tblPr>
              <w:tblStyle w:val="TableGrid"/>
              <w:tblW w:w="6456" w:type="dxa"/>
              <w:tblLayout w:type="fixed"/>
              <w:tblCellMar>
                <w:left w:w="57" w:type="dxa"/>
                <w:right w:w="57" w:type="dxa"/>
              </w:tblCellMar>
              <w:tblLook w:val="04A0" w:firstRow="1" w:lastRow="0" w:firstColumn="1" w:lastColumn="0" w:noHBand="0" w:noVBand="1"/>
            </w:tblPr>
            <w:tblGrid>
              <w:gridCol w:w="4343"/>
              <w:gridCol w:w="88"/>
              <w:gridCol w:w="1973"/>
              <w:gridCol w:w="52"/>
            </w:tblGrid>
            <w:tr w:rsidR="002866D6" w14:paraId="104370BE" w14:textId="77777777" w:rsidTr="002866D6">
              <w:tc>
                <w:tcPr>
                  <w:tcW w:w="3432" w:type="pct"/>
                  <w:gridSpan w:val="2"/>
                  <w:tcBorders>
                    <w:top w:val="nil"/>
                    <w:left w:val="nil"/>
                    <w:bottom w:val="nil"/>
                    <w:right w:val="nil"/>
                  </w:tcBorders>
                </w:tcPr>
                <w:p w14:paraId="5592607E" w14:textId="77777777" w:rsidR="00B121A3" w:rsidRDefault="00B121A3" w:rsidP="004B7A0B">
                  <w:pPr>
                    <w:pStyle w:val="TableBullet1"/>
                    <w:framePr w:hSpace="181" w:wrap="around" w:vAnchor="text" w:hAnchor="page" w:x="8141" w:y="1"/>
                    <w:numPr>
                      <w:ilvl w:val="0"/>
                      <w:numId w:val="14"/>
                    </w:numPr>
                  </w:pPr>
                  <w:r w:rsidRPr="00B121A3">
                    <w:t xml:space="preserve">Small player in a market dominated by global </w:t>
                  </w:r>
                </w:p>
                <w:p w14:paraId="604EFCEB" w14:textId="11BB32A3" w:rsidR="00DD3B11" w:rsidRDefault="00B121A3" w:rsidP="004B7A0B">
                  <w:pPr>
                    <w:pStyle w:val="TableBullet1"/>
                    <w:framePr w:hSpace="181" w:wrap="around" w:vAnchor="text" w:hAnchor="page" w:x="8141" w:y="1"/>
                    <w:numPr>
                      <w:ilvl w:val="0"/>
                      <w:numId w:val="0"/>
                    </w:numPr>
                    <w:ind w:left="170"/>
                  </w:pPr>
                  <w:r w:rsidRPr="00B121A3">
                    <w:t>players with deep pockets</w:t>
                  </w:r>
                </w:p>
              </w:tc>
              <w:tc>
                <w:tcPr>
                  <w:tcW w:w="1568" w:type="pct"/>
                  <w:gridSpan w:val="2"/>
                  <w:tcBorders>
                    <w:top w:val="nil"/>
                    <w:left w:val="nil"/>
                    <w:bottom w:val="nil"/>
                    <w:right w:val="nil"/>
                  </w:tcBorders>
                  <w:tcMar>
                    <w:top w:w="57" w:type="dxa"/>
                    <w:bottom w:w="57" w:type="dxa"/>
                  </w:tcMar>
                </w:tcPr>
                <w:p w14:paraId="51499E1C" w14:textId="77777777" w:rsidR="002866D6" w:rsidRDefault="002866D6" w:rsidP="004B7A0B">
                  <w:pPr>
                    <w:pStyle w:val="TableBullet1"/>
                    <w:framePr w:hSpace="181" w:wrap="around" w:vAnchor="text" w:hAnchor="page" w:x="8141" w:y="1"/>
                    <w:numPr>
                      <w:ilvl w:val="0"/>
                      <w:numId w:val="4"/>
                    </w:numPr>
                  </w:pPr>
                </w:p>
              </w:tc>
            </w:tr>
            <w:tr w:rsidR="002866D6" w14:paraId="23754AE0" w14:textId="77777777" w:rsidTr="002866D6">
              <w:tc>
                <w:tcPr>
                  <w:tcW w:w="3432" w:type="pct"/>
                  <w:gridSpan w:val="2"/>
                  <w:tcBorders>
                    <w:top w:val="nil"/>
                    <w:left w:val="nil"/>
                    <w:bottom w:val="nil"/>
                    <w:right w:val="nil"/>
                  </w:tcBorders>
                </w:tcPr>
                <w:p w14:paraId="0648D0F7" w14:textId="6AB006BE" w:rsidR="004F41B9" w:rsidRDefault="005678F7" w:rsidP="004B7A0B">
                  <w:pPr>
                    <w:pStyle w:val="TableBullet1"/>
                    <w:framePr w:hSpace="181" w:wrap="around" w:vAnchor="text" w:hAnchor="page" w:x="8141" w:y="1"/>
                    <w:numPr>
                      <w:ilvl w:val="0"/>
                      <w:numId w:val="14"/>
                    </w:numPr>
                  </w:pPr>
                  <w:r>
                    <w:t>Significant data centre capacity currently in the</w:t>
                  </w:r>
                </w:p>
                <w:p w14:paraId="32854017" w14:textId="6D177C70" w:rsidR="00AA49E8" w:rsidRDefault="005678F7" w:rsidP="004B7A0B">
                  <w:pPr>
                    <w:pStyle w:val="TableBullet1"/>
                    <w:framePr w:hSpace="181" w:wrap="around" w:vAnchor="text" w:hAnchor="page" w:x="8141" w:y="1"/>
                    <w:numPr>
                      <w:ilvl w:val="0"/>
                      <w:numId w:val="0"/>
                    </w:numPr>
                    <w:ind w:left="170"/>
                  </w:pPr>
                  <w:r>
                    <w:t>market</w:t>
                  </w:r>
                  <w:r w:rsidR="00AA49E8">
                    <w:t xml:space="preserve"> </w:t>
                  </w:r>
                </w:p>
              </w:tc>
              <w:tc>
                <w:tcPr>
                  <w:tcW w:w="1568" w:type="pct"/>
                  <w:gridSpan w:val="2"/>
                  <w:tcBorders>
                    <w:top w:val="nil"/>
                    <w:left w:val="nil"/>
                    <w:bottom w:val="nil"/>
                    <w:right w:val="nil"/>
                  </w:tcBorders>
                  <w:tcMar>
                    <w:top w:w="57" w:type="dxa"/>
                    <w:bottom w:w="57" w:type="dxa"/>
                  </w:tcMar>
                </w:tcPr>
                <w:p w14:paraId="3CF87A36" w14:textId="77777777" w:rsidR="002866D6" w:rsidRDefault="002866D6" w:rsidP="004B7A0B">
                  <w:pPr>
                    <w:pStyle w:val="TableBullet1"/>
                    <w:framePr w:hSpace="181" w:wrap="around" w:vAnchor="text" w:hAnchor="page" w:x="8141" w:y="1"/>
                    <w:numPr>
                      <w:ilvl w:val="0"/>
                      <w:numId w:val="4"/>
                    </w:numPr>
                  </w:pPr>
                </w:p>
              </w:tc>
            </w:tr>
            <w:tr w:rsidR="002866D6" w14:paraId="7287BDBF" w14:textId="77777777" w:rsidTr="002866D6">
              <w:tc>
                <w:tcPr>
                  <w:tcW w:w="3432" w:type="pct"/>
                  <w:gridSpan w:val="2"/>
                  <w:tcBorders>
                    <w:top w:val="nil"/>
                    <w:left w:val="nil"/>
                    <w:bottom w:val="nil"/>
                    <w:right w:val="nil"/>
                  </w:tcBorders>
                </w:tcPr>
                <w:p w14:paraId="0239D7EB" w14:textId="73131F79" w:rsidR="009268A3" w:rsidRDefault="00C440B2" w:rsidP="004B7A0B">
                  <w:pPr>
                    <w:pStyle w:val="TableBullet1"/>
                    <w:framePr w:hSpace="181" w:wrap="around" w:vAnchor="text" w:hAnchor="page" w:x="8141" w:y="1"/>
                    <w:numPr>
                      <w:ilvl w:val="0"/>
                      <w:numId w:val="14"/>
                    </w:numPr>
                  </w:pPr>
                  <w:r>
                    <w:t>Growth of mature centres reverts to CPI</w:t>
                  </w:r>
                </w:p>
              </w:tc>
              <w:tc>
                <w:tcPr>
                  <w:tcW w:w="1568" w:type="pct"/>
                  <w:gridSpan w:val="2"/>
                  <w:tcBorders>
                    <w:top w:val="nil"/>
                    <w:left w:val="nil"/>
                    <w:bottom w:val="nil"/>
                    <w:right w:val="nil"/>
                  </w:tcBorders>
                  <w:tcMar>
                    <w:top w:w="57" w:type="dxa"/>
                    <w:bottom w:w="57" w:type="dxa"/>
                  </w:tcMar>
                </w:tcPr>
                <w:p w14:paraId="001CF8F7" w14:textId="77777777" w:rsidR="002866D6" w:rsidRDefault="002866D6" w:rsidP="004B7A0B">
                  <w:pPr>
                    <w:pStyle w:val="TableBullet1"/>
                    <w:framePr w:hSpace="181" w:wrap="around" w:vAnchor="text" w:hAnchor="page" w:x="8141" w:y="1"/>
                    <w:numPr>
                      <w:ilvl w:val="0"/>
                      <w:numId w:val="4"/>
                    </w:numPr>
                  </w:pPr>
                </w:p>
              </w:tc>
            </w:tr>
            <w:tr w:rsidR="000B5962" w14:paraId="27340AFA" w14:textId="77777777" w:rsidTr="00505E30">
              <w:trPr>
                <w:gridAfter w:val="1"/>
                <w:wAfter w:w="40" w:type="pct"/>
              </w:trPr>
              <w:tc>
                <w:tcPr>
                  <w:tcW w:w="4960" w:type="pct"/>
                  <w:gridSpan w:val="3"/>
                  <w:tcBorders>
                    <w:top w:val="nil"/>
                    <w:left w:val="nil"/>
                    <w:bottom w:val="nil"/>
                    <w:right w:val="nil"/>
                  </w:tcBorders>
                </w:tcPr>
                <w:p w14:paraId="5C874B0E" w14:textId="77777777" w:rsidR="00DA7509" w:rsidRPr="00606EA3" w:rsidRDefault="00DA7509" w:rsidP="004B7A0B">
                  <w:pPr>
                    <w:pStyle w:val="Caption"/>
                    <w:framePr w:hSpace="181" w:wrap="around" w:vAnchor="text" w:hAnchor="page" w:x="8141" w:y="1"/>
                    <w:rPr>
                      <w:color w:val="FF0000"/>
                      <w:sz w:val="16"/>
                      <w:szCs w:val="16"/>
                    </w:rPr>
                  </w:pPr>
                  <w:r>
                    <w:rPr>
                      <w:color w:val="FF0000"/>
                      <w:sz w:val="16"/>
                      <w:szCs w:val="16"/>
                    </w:rPr>
                    <w:t>Catalysts</w:t>
                  </w:r>
                </w:p>
                <w:p w14:paraId="4D573FB6" w14:textId="48CC2BD8" w:rsidR="000B5962" w:rsidRDefault="00A552E5" w:rsidP="004B7A0B">
                  <w:pPr>
                    <w:pStyle w:val="TableBullet1"/>
                    <w:framePr w:hSpace="181" w:wrap="around" w:vAnchor="text" w:hAnchor="page" w:x="8141" w:y="1"/>
                    <w:numPr>
                      <w:ilvl w:val="0"/>
                      <w:numId w:val="9"/>
                    </w:numPr>
                  </w:pPr>
                  <w:r>
                    <w:t>Commissioning of Sydney data centre in July 2019</w:t>
                  </w:r>
                  <w:r w:rsidR="00442AF3">
                    <w:t xml:space="preserve"> </w:t>
                  </w:r>
                </w:p>
              </w:tc>
            </w:tr>
            <w:tr w:rsidR="000B5962" w:rsidRPr="000B02F7" w14:paraId="09553816" w14:textId="77777777" w:rsidTr="00505E30">
              <w:trPr>
                <w:gridAfter w:val="1"/>
                <w:wAfter w:w="40" w:type="pct"/>
              </w:trPr>
              <w:tc>
                <w:tcPr>
                  <w:tcW w:w="3364" w:type="pct"/>
                  <w:tcBorders>
                    <w:top w:val="nil"/>
                    <w:left w:val="nil"/>
                    <w:bottom w:val="nil"/>
                    <w:right w:val="nil"/>
                  </w:tcBorders>
                </w:tcPr>
                <w:p w14:paraId="1295D4D7" w14:textId="2BDB727B" w:rsidR="000B5962" w:rsidRDefault="00CA53E7" w:rsidP="004B7A0B">
                  <w:pPr>
                    <w:pStyle w:val="TableBullet1"/>
                    <w:framePr w:hSpace="181" w:wrap="around" w:vAnchor="text" w:hAnchor="page" w:x="8141" w:y="1"/>
                    <w:numPr>
                      <w:ilvl w:val="0"/>
                      <w:numId w:val="9"/>
                    </w:numPr>
                  </w:pPr>
                  <w:r>
                    <w:t>Further contract wins for DXN Modules</w:t>
                  </w:r>
                  <w:r w:rsidR="00B54A70">
                    <w:t xml:space="preserve"> </w:t>
                  </w:r>
                </w:p>
              </w:tc>
              <w:tc>
                <w:tcPr>
                  <w:tcW w:w="1596" w:type="pct"/>
                  <w:gridSpan w:val="2"/>
                  <w:tcBorders>
                    <w:top w:val="nil"/>
                    <w:left w:val="nil"/>
                    <w:bottom w:val="nil"/>
                    <w:right w:val="nil"/>
                  </w:tcBorders>
                  <w:tcMar>
                    <w:top w:w="57" w:type="dxa"/>
                    <w:bottom w:w="57" w:type="dxa"/>
                  </w:tcMar>
                </w:tcPr>
                <w:p w14:paraId="1913028A" w14:textId="77777777" w:rsidR="000B5962" w:rsidRPr="000B02F7" w:rsidRDefault="000B5962" w:rsidP="004B7A0B">
                  <w:pPr>
                    <w:pStyle w:val="TableTextRight"/>
                    <w:framePr w:hSpace="181" w:wrap="around" w:vAnchor="text" w:hAnchor="page" w:x="8141" w:y="1"/>
                    <w:rPr>
                      <w:szCs w:val="16"/>
                    </w:rPr>
                  </w:pPr>
                </w:p>
              </w:tc>
            </w:tr>
            <w:tr w:rsidR="009D5FC6" w:rsidRPr="00CD2573" w14:paraId="04FBADE0" w14:textId="77777777" w:rsidTr="002866D6">
              <w:trPr>
                <w:gridAfter w:val="2"/>
                <w:wAfter w:w="1568" w:type="pct"/>
              </w:trPr>
              <w:tc>
                <w:tcPr>
                  <w:tcW w:w="3432" w:type="pct"/>
                  <w:gridSpan w:val="2"/>
                  <w:tcBorders>
                    <w:top w:val="nil"/>
                    <w:left w:val="nil"/>
                    <w:bottom w:val="nil"/>
                    <w:right w:val="nil"/>
                  </w:tcBorders>
                </w:tcPr>
                <w:p w14:paraId="25555034" w14:textId="77777777" w:rsidR="003D33EB" w:rsidRPr="00606EA3" w:rsidRDefault="000D43E0" w:rsidP="004B7A0B">
                  <w:pPr>
                    <w:pStyle w:val="Caption"/>
                    <w:framePr w:hSpace="181" w:wrap="around" w:vAnchor="text" w:hAnchor="page" w:x="8141" w:y="1"/>
                    <w:ind w:left="0"/>
                    <w:rPr>
                      <w:color w:val="FF0000"/>
                      <w:sz w:val="16"/>
                      <w:szCs w:val="16"/>
                    </w:rPr>
                  </w:pPr>
                  <w:bookmarkStart w:id="3" w:name="BM_DocEmail" w:colFirst="0" w:colLast="0"/>
                  <w:r w:rsidRPr="00606EA3">
                    <w:rPr>
                      <w:color w:val="FF0000"/>
                      <w:sz w:val="16"/>
                      <w:szCs w:val="16"/>
                    </w:rPr>
                    <w:t>Comparative companies (Aust</w:t>
                  </w:r>
                  <w:r w:rsidR="00AE716C" w:rsidRPr="00606EA3">
                    <w:rPr>
                      <w:color w:val="FF0000"/>
                      <w:sz w:val="16"/>
                      <w:szCs w:val="16"/>
                    </w:rPr>
                    <w:t>ralia</w:t>
                  </w:r>
                  <w:r w:rsidR="001F089C">
                    <w:rPr>
                      <w:color w:val="FF0000"/>
                      <w:sz w:val="16"/>
                      <w:szCs w:val="16"/>
                    </w:rPr>
                    <w:t xml:space="preserve"> &amp; NZ</w:t>
                  </w:r>
                  <w:r w:rsidRPr="00606EA3">
                    <w:rPr>
                      <w:color w:val="FF0000"/>
                      <w:sz w:val="16"/>
                      <w:szCs w:val="16"/>
                    </w:rPr>
                    <w:t>)</w:t>
                  </w:r>
                </w:p>
                <w:tbl>
                  <w:tblPr>
                    <w:tblStyle w:val="TableGrid"/>
                    <w:tblW w:w="7515" w:type="dxa"/>
                    <w:tblLayout w:type="fixed"/>
                    <w:tblCellMar>
                      <w:left w:w="57" w:type="dxa"/>
                      <w:right w:w="57" w:type="dxa"/>
                    </w:tblCellMar>
                    <w:tblLook w:val="04A0" w:firstRow="1" w:lastRow="0" w:firstColumn="1" w:lastColumn="0" w:noHBand="0" w:noVBand="1"/>
                  </w:tblPr>
                  <w:tblGrid>
                    <w:gridCol w:w="3285"/>
                    <w:gridCol w:w="2115"/>
                    <w:gridCol w:w="2115"/>
                  </w:tblGrid>
                  <w:tr w:rsidR="006711E1" w14:paraId="594064F3" w14:textId="77777777" w:rsidTr="006711E1">
                    <w:tc>
                      <w:tcPr>
                        <w:tcW w:w="2186" w:type="pct"/>
                        <w:tcBorders>
                          <w:top w:val="nil"/>
                          <w:left w:val="nil"/>
                          <w:bottom w:val="nil"/>
                          <w:right w:val="nil"/>
                        </w:tcBorders>
                        <w:tcMar>
                          <w:top w:w="57" w:type="dxa"/>
                          <w:bottom w:w="57" w:type="dxa"/>
                        </w:tcMar>
                      </w:tcPr>
                      <w:p w14:paraId="54F294CF" w14:textId="3128C7BA" w:rsidR="00BE5D35" w:rsidRDefault="0013099F" w:rsidP="004B7A0B">
                        <w:pPr>
                          <w:pStyle w:val="TableTextRight"/>
                          <w:framePr w:hSpace="181" w:wrap="around" w:vAnchor="text" w:hAnchor="page" w:x="8141" w:y="1"/>
                          <w:jc w:val="left"/>
                        </w:pPr>
                        <w:r>
                          <w:t>MAQ, NXT</w:t>
                        </w:r>
                      </w:p>
                    </w:tc>
                    <w:tc>
                      <w:tcPr>
                        <w:tcW w:w="1407" w:type="pct"/>
                        <w:tcBorders>
                          <w:top w:val="nil"/>
                          <w:left w:val="nil"/>
                          <w:bottom w:val="nil"/>
                          <w:right w:val="nil"/>
                        </w:tcBorders>
                      </w:tcPr>
                      <w:p w14:paraId="7943B2B2" w14:textId="77777777" w:rsidR="006711E1" w:rsidRDefault="006711E1" w:rsidP="004B7A0B">
                        <w:pPr>
                          <w:pStyle w:val="TableTextRight"/>
                          <w:framePr w:hSpace="181" w:wrap="around" w:vAnchor="text" w:hAnchor="page" w:x="8141" w:y="1"/>
                          <w:jc w:val="center"/>
                        </w:pPr>
                      </w:p>
                    </w:tc>
                    <w:tc>
                      <w:tcPr>
                        <w:tcW w:w="1407" w:type="pct"/>
                        <w:tcBorders>
                          <w:top w:val="nil"/>
                          <w:left w:val="nil"/>
                          <w:bottom w:val="nil"/>
                          <w:right w:val="nil"/>
                        </w:tcBorders>
                      </w:tcPr>
                      <w:p w14:paraId="352B4D47" w14:textId="77777777" w:rsidR="006711E1" w:rsidRDefault="006711E1" w:rsidP="004B7A0B">
                        <w:pPr>
                          <w:pStyle w:val="TableTextRight"/>
                          <w:framePr w:hSpace="181" w:wrap="around" w:vAnchor="text" w:hAnchor="page" w:x="8141" w:y="1"/>
                          <w:jc w:val="center"/>
                        </w:pPr>
                      </w:p>
                    </w:tc>
                  </w:tr>
                </w:tbl>
                <w:p w14:paraId="166D950C" w14:textId="77777777" w:rsidR="009D5FC6" w:rsidRPr="00052F1B" w:rsidRDefault="009D5FC6" w:rsidP="004B7A0B">
                  <w:pPr>
                    <w:pStyle w:val="Email"/>
                    <w:framePr w:wrap="around" w:x="8141"/>
                    <w:rPr>
                      <w:rStyle w:val="Hyperlink"/>
                    </w:rPr>
                  </w:pPr>
                </w:p>
              </w:tc>
            </w:tr>
            <w:bookmarkEnd w:id="3"/>
            <w:tr w:rsidR="00BE5D35" w14:paraId="21627CD8" w14:textId="77777777" w:rsidTr="00505E30">
              <w:trPr>
                <w:gridAfter w:val="1"/>
                <w:wAfter w:w="40" w:type="pct"/>
              </w:trPr>
              <w:tc>
                <w:tcPr>
                  <w:tcW w:w="4960" w:type="pct"/>
                  <w:gridSpan w:val="3"/>
                  <w:tcBorders>
                    <w:top w:val="nil"/>
                    <w:left w:val="nil"/>
                    <w:bottom w:val="nil"/>
                    <w:right w:val="nil"/>
                  </w:tcBorders>
                </w:tcPr>
                <w:p w14:paraId="464A2CE9" w14:textId="77777777" w:rsidR="00EE3A50" w:rsidRPr="00606EA3" w:rsidRDefault="00EE3A50" w:rsidP="004B7A0B">
                  <w:pPr>
                    <w:pStyle w:val="Caption"/>
                    <w:framePr w:hSpace="181" w:wrap="around" w:vAnchor="text" w:hAnchor="page" w:x="8141" w:y="1"/>
                    <w:ind w:left="0"/>
                    <w:rPr>
                      <w:color w:val="FF0000"/>
                      <w:sz w:val="16"/>
                      <w:szCs w:val="16"/>
                    </w:rPr>
                  </w:pPr>
                  <w:r>
                    <w:rPr>
                      <w:color w:val="FF0000"/>
                      <w:sz w:val="16"/>
                      <w:szCs w:val="16"/>
                    </w:rPr>
                    <w:t>Substantial Shareholders</w:t>
                  </w:r>
                </w:p>
                <w:p w14:paraId="590483C5" w14:textId="77777777" w:rsidR="00702B6D" w:rsidRDefault="00702B6D" w:rsidP="004B7A0B">
                  <w:pPr>
                    <w:pStyle w:val="TableBullet1"/>
                    <w:framePr w:hSpace="181" w:wrap="around" w:vAnchor="text" w:hAnchor="page" w:x="8141" w:y="1"/>
                    <w:numPr>
                      <w:ilvl w:val="0"/>
                      <w:numId w:val="0"/>
                    </w:numPr>
                    <w:ind w:left="170" w:hanging="170"/>
                  </w:pPr>
                  <w:r>
                    <w:t xml:space="preserve">Carason Ward Pte Ltd (Dean Coetzee and Tim </w:t>
                  </w:r>
                </w:p>
                <w:p w14:paraId="36AA0497" w14:textId="77777777" w:rsidR="00702B6D" w:rsidRDefault="00702B6D" w:rsidP="004B7A0B">
                  <w:pPr>
                    <w:pStyle w:val="TableBullet1"/>
                    <w:framePr w:hSpace="181" w:wrap="around" w:vAnchor="text" w:hAnchor="page" w:x="8141" w:y="1"/>
                    <w:numPr>
                      <w:ilvl w:val="0"/>
                      <w:numId w:val="0"/>
                    </w:numPr>
                    <w:ind w:left="170" w:hanging="170"/>
                  </w:pPr>
                  <w:r>
                    <w:t xml:space="preserve">Desmond) 15.42%, </w:t>
                  </w:r>
                </w:p>
                <w:p w14:paraId="1DDA8847" w14:textId="77777777" w:rsidR="00702B6D" w:rsidRDefault="00702B6D" w:rsidP="004B7A0B">
                  <w:pPr>
                    <w:pStyle w:val="TableBullet1"/>
                    <w:framePr w:hSpace="181" w:wrap="around" w:vAnchor="text" w:hAnchor="page" w:x="8141" w:y="1"/>
                    <w:numPr>
                      <w:ilvl w:val="0"/>
                      <w:numId w:val="0"/>
                    </w:numPr>
                    <w:ind w:left="170" w:hanging="170"/>
                  </w:pPr>
                  <w:r>
                    <w:t xml:space="preserve">Buttonwood Nominees Pty Ltd (Newgate Capital </w:t>
                  </w:r>
                </w:p>
                <w:p w14:paraId="2B6C89BA" w14:textId="6032EEF8" w:rsidR="00702B6D" w:rsidRDefault="00702B6D" w:rsidP="004B7A0B">
                  <w:pPr>
                    <w:pStyle w:val="TableBullet1"/>
                    <w:framePr w:hSpace="181" w:wrap="around" w:vAnchor="text" w:hAnchor="page" w:x="8141" w:y="1"/>
                    <w:numPr>
                      <w:ilvl w:val="0"/>
                      <w:numId w:val="0"/>
                    </w:numPr>
                    <w:ind w:left="170" w:hanging="170"/>
                  </w:pPr>
                  <w:r>
                    <w:t xml:space="preserve">Partners) </w:t>
                  </w:r>
                  <w:r w:rsidR="004759D7">
                    <w:t>15.48</w:t>
                  </w:r>
                  <w:r>
                    <w:t xml:space="preserve">%, </w:t>
                  </w:r>
                </w:p>
                <w:p w14:paraId="068B199E" w14:textId="63AAD2F9" w:rsidR="000A117B" w:rsidRDefault="00702B6D" w:rsidP="004B7A0B">
                  <w:pPr>
                    <w:pStyle w:val="TableBullet1"/>
                    <w:framePr w:hSpace="181" w:wrap="around" w:vAnchor="text" w:hAnchor="page" w:x="8141" w:y="1"/>
                    <w:numPr>
                      <w:ilvl w:val="0"/>
                      <w:numId w:val="0"/>
                    </w:numPr>
                    <w:ind w:left="170" w:hanging="170"/>
                  </w:pPr>
                  <w:r>
                    <w:t>SG Hiscock &amp; Company Limited 9.88%</w:t>
                  </w:r>
                </w:p>
              </w:tc>
            </w:tr>
          </w:tbl>
          <w:p w14:paraId="5A5C3805" w14:textId="77777777" w:rsidR="003D33EB" w:rsidRPr="00606EA3" w:rsidRDefault="003D33EB" w:rsidP="003D33EB">
            <w:pPr>
              <w:pStyle w:val="Caption"/>
              <w:rPr>
                <w:color w:val="FF0000"/>
                <w:sz w:val="16"/>
                <w:szCs w:val="16"/>
              </w:rPr>
            </w:pPr>
            <w:r w:rsidRPr="00606EA3">
              <w:rPr>
                <w:color w:val="FF0000"/>
                <w:sz w:val="16"/>
                <w:szCs w:val="16"/>
              </w:rPr>
              <w:t>RaaS Advisory contacts</w:t>
            </w:r>
          </w:p>
          <w:tbl>
            <w:tblPr>
              <w:tblStyle w:val="TableGrid"/>
              <w:tblW w:w="3285" w:type="dxa"/>
              <w:tblLayout w:type="fixed"/>
              <w:tblCellMar>
                <w:left w:w="57" w:type="dxa"/>
                <w:right w:w="57" w:type="dxa"/>
              </w:tblCellMar>
              <w:tblLook w:val="04A0" w:firstRow="1" w:lastRow="0" w:firstColumn="1" w:lastColumn="0" w:noHBand="0" w:noVBand="1"/>
            </w:tblPr>
            <w:tblGrid>
              <w:gridCol w:w="1216"/>
              <w:gridCol w:w="2069"/>
            </w:tblGrid>
            <w:tr w:rsidR="001F089C" w14:paraId="50A82B43" w14:textId="77777777" w:rsidTr="009427EF">
              <w:tc>
                <w:tcPr>
                  <w:tcW w:w="1851" w:type="pct"/>
                  <w:tcBorders>
                    <w:top w:val="nil"/>
                    <w:left w:val="nil"/>
                    <w:bottom w:val="nil"/>
                    <w:right w:val="nil"/>
                  </w:tcBorders>
                  <w:tcMar>
                    <w:top w:w="57" w:type="dxa"/>
                    <w:bottom w:w="57" w:type="dxa"/>
                  </w:tcMar>
                </w:tcPr>
                <w:p w14:paraId="6220597C" w14:textId="21360987" w:rsidR="001F089C" w:rsidRPr="001E0027" w:rsidRDefault="009427EF" w:rsidP="004B7A0B">
                  <w:pPr>
                    <w:pStyle w:val="TableTextLeft"/>
                    <w:framePr w:hSpace="181" w:wrap="around" w:vAnchor="text" w:hAnchor="page" w:x="8141" w:y="1"/>
                  </w:pPr>
                  <w:r>
                    <w:t>Finola Burke</w:t>
                  </w:r>
                </w:p>
              </w:tc>
              <w:tc>
                <w:tcPr>
                  <w:tcW w:w="3149" w:type="pct"/>
                  <w:tcBorders>
                    <w:top w:val="nil"/>
                    <w:left w:val="nil"/>
                    <w:bottom w:val="nil"/>
                    <w:right w:val="nil"/>
                  </w:tcBorders>
                  <w:tcMar>
                    <w:top w:w="57" w:type="dxa"/>
                    <w:bottom w:w="57" w:type="dxa"/>
                  </w:tcMar>
                </w:tcPr>
                <w:p w14:paraId="0E15CAA2" w14:textId="466C39E8" w:rsidR="001F089C" w:rsidRDefault="00212B3C" w:rsidP="004B7A0B">
                  <w:pPr>
                    <w:pStyle w:val="TableTextRight"/>
                    <w:framePr w:hSpace="181" w:wrap="around" w:vAnchor="text" w:hAnchor="page" w:x="8141" w:y="1"/>
                    <w:jc w:val="left"/>
                  </w:pPr>
                  <w:r>
                    <w:t xml:space="preserve">                   </w:t>
                  </w:r>
                  <w:r w:rsidR="00C6248C">
                    <w:t>+</w:t>
                  </w:r>
                  <w:r w:rsidR="00EC1DC1">
                    <w:t xml:space="preserve">61 </w:t>
                  </w:r>
                  <w:r w:rsidR="009427EF">
                    <w:t>414 354 712</w:t>
                  </w:r>
                  <w:r>
                    <w:t xml:space="preserve">  </w:t>
                  </w:r>
                </w:p>
                <w:p w14:paraId="750B617F" w14:textId="5CEFF8F5" w:rsidR="00212B3C" w:rsidRDefault="009427EF" w:rsidP="004B7A0B">
                  <w:pPr>
                    <w:pStyle w:val="TableTextRight"/>
                    <w:framePr w:hSpace="181" w:wrap="around" w:vAnchor="text" w:hAnchor="page" w:x="8141" w:y="1"/>
                    <w:jc w:val="center"/>
                  </w:pPr>
                  <w:r>
                    <w:t>finola.burke</w:t>
                  </w:r>
                  <w:r w:rsidR="00212B3C">
                    <w:t>@raasgroup.com</w:t>
                  </w:r>
                </w:p>
              </w:tc>
            </w:tr>
          </w:tbl>
          <w:p w14:paraId="5E90995B" w14:textId="77777777" w:rsidR="009D5FC6" w:rsidRPr="00C242F5" w:rsidRDefault="009D5FC6" w:rsidP="00C242F5"/>
        </w:tc>
      </w:tr>
    </w:tbl>
    <w:bookmarkEnd w:id="0"/>
    <w:p w14:paraId="0CE0F1A1" w14:textId="478DA074" w:rsidR="0002198C" w:rsidRPr="0002198C" w:rsidRDefault="00CE5784" w:rsidP="00CD1B70">
      <w:pPr>
        <w:pStyle w:val="Heading2"/>
        <w:spacing w:before="0"/>
        <w:rPr>
          <w:sz w:val="40"/>
          <w:szCs w:val="40"/>
        </w:rPr>
      </w:pPr>
      <w:r>
        <w:rPr>
          <w:sz w:val="40"/>
          <w:szCs w:val="40"/>
        </w:rPr>
        <w:t>Data Exchange Network</w:t>
      </w:r>
    </w:p>
    <w:p w14:paraId="2CA27798" w14:textId="5BD77459" w:rsidR="007F0F77" w:rsidRPr="00DB34C7" w:rsidRDefault="00CE5784" w:rsidP="00AF1BD7">
      <w:pPr>
        <w:pStyle w:val="Heading2"/>
        <w:spacing w:before="0"/>
        <w:rPr>
          <w:sz w:val="30"/>
          <w:szCs w:val="30"/>
        </w:rPr>
      </w:pPr>
      <w:r>
        <w:rPr>
          <w:sz w:val="30"/>
          <w:szCs w:val="30"/>
        </w:rPr>
        <w:t>New contract win</w:t>
      </w:r>
    </w:p>
    <w:p w14:paraId="6FD2CE58" w14:textId="6883DD8E" w:rsidR="00B54A70" w:rsidRDefault="005D0E25" w:rsidP="00A43DA7">
      <w:pPr>
        <w:pStyle w:val="IntroText"/>
        <w:pBdr>
          <w:left w:val="single" w:sz="8" w:space="0" w:color="EEECE1" w:themeColor="background2"/>
        </w:pBdr>
        <w:spacing w:after="0" w:line="276" w:lineRule="auto"/>
        <w:rPr>
          <w:rFonts w:eastAsia="Times New Roman" w:cs="Arial"/>
        </w:rPr>
      </w:pPr>
      <w:r>
        <w:rPr>
          <w:rFonts w:eastAsia="Times New Roman" w:cs="Arial"/>
        </w:rPr>
        <w:t xml:space="preserve">The </w:t>
      </w:r>
      <w:r w:rsidR="001B3CF6">
        <w:rPr>
          <w:rFonts w:eastAsia="Times New Roman" w:cs="Arial"/>
        </w:rPr>
        <w:t>Data Exchange Network</w:t>
      </w:r>
      <w:r>
        <w:rPr>
          <w:rFonts w:eastAsia="Times New Roman" w:cs="Arial"/>
        </w:rPr>
        <w:t xml:space="preserve"> Ltd</w:t>
      </w:r>
      <w:r w:rsidR="00F830B9" w:rsidRPr="00F830B9">
        <w:rPr>
          <w:rFonts w:eastAsia="Times New Roman" w:cs="Arial"/>
        </w:rPr>
        <w:t xml:space="preserve"> (</w:t>
      </w:r>
      <w:proofErr w:type="gramStart"/>
      <w:r w:rsidR="00F830B9" w:rsidRPr="00F830B9">
        <w:rPr>
          <w:rFonts w:eastAsia="Times New Roman" w:cs="Arial"/>
        </w:rPr>
        <w:t>ASX:</w:t>
      </w:r>
      <w:r w:rsidR="001B3CF6">
        <w:rPr>
          <w:rFonts w:eastAsia="Times New Roman" w:cs="Arial"/>
        </w:rPr>
        <w:t>DXN</w:t>
      </w:r>
      <w:proofErr w:type="gramEnd"/>
      <w:r w:rsidR="001B3CF6">
        <w:rPr>
          <w:rFonts w:eastAsia="Times New Roman" w:cs="Arial"/>
        </w:rPr>
        <w:t>)</w:t>
      </w:r>
      <w:r w:rsidR="00F830B9" w:rsidRPr="00F830B9">
        <w:rPr>
          <w:rFonts w:eastAsia="Times New Roman" w:cs="Arial"/>
        </w:rPr>
        <w:t xml:space="preserve"> </w:t>
      </w:r>
      <w:r w:rsidR="00A43DA7" w:rsidRPr="00A43DA7">
        <w:rPr>
          <w:rFonts w:eastAsia="Times New Roman" w:cs="Arial"/>
        </w:rPr>
        <w:t>is a vertically integrated prefabricated modular data centre business with manufacturing facilities in Perth</w:t>
      </w:r>
      <w:r w:rsidR="005634AB">
        <w:rPr>
          <w:rFonts w:eastAsia="Times New Roman" w:cs="Arial"/>
        </w:rPr>
        <w:t xml:space="preserve"> and a soon to be commissioned data centre at </w:t>
      </w:r>
      <w:r w:rsidR="00B85340">
        <w:rPr>
          <w:rFonts w:eastAsia="Times New Roman" w:cs="Arial"/>
        </w:rPr>
        <w:t>Sydney Olympic Park</w:t>
      </w:r>
      <w:r w:rsidR="005634AB">
        <w:rPr>
          <w:rFonts w:eastAsia="Times New Roman" w:cs="Arial"/>
        </w:rPr>
        <w:t xml:space="preserve"> in Sydney</w:t>
      </w:r>
      <w:r w:rsidR="00A43DA7" w:rsidRPr="00A43DA7">
        <w:rPr>
          <w:rFonts w:eastAsia="Times New Roman" w:cs="Arial"/>
        </w:rPr>
        <w:t xml:space="preserve">.  </w:t>
      </w:r>
      <w:r w:rsidR="00A43DA7">
        <w:rPr>
          <w:rFonts w:eastAsia="Times New Roman" w:cs="Arial"/>
        </w:rPr>
        <w:t xml:space="preserve">The company has announced it has secured </w:t>
      </w:r>
      <w:r w:rsidR="00382827">
        <w:rPr>
          <w:rFonts w:eastAsia="Times New Roman" w:cs="Arial"/>
        </w:rPr>
        <w:t xml:space="preserve">its third contract in as many months to build </w:t>
      </w:r>
      <w:r w:rsidR="005F1DE0">
        <w:rPr>
          <w:rFonts w:eastAsia="Times New Roman" w:cs="Arial"/>
        </w:rPr>
        <w:t xml:space="preserve">two state-of-the-art cable landing stations </w:t>
      </w:r>
      <w:r w:rsidR="00E26F68">
        <w:rPr>
          <w:rFonts w:eastAsia="Times New Roman" w:cs="Arial"/>
        </w:rPr>
        <w:t xml:space="preserve">in the </w:t>
      </w:r>
      <w:r w:rsidR="0092342A">
        <w:rPr>
          <w:rFonts w:eastAsia="Times New Roman" w:cs="Arial"/>
        </w:rPr>
        <w:t xml:space="preserve">Cook Islands </w:t>
      </w:r>
      <w:r w:rsidR="005F1DE0">
        <w:rPr>
          <w:rFonts w:eastAsia="Times New Roman" w:cs="Arial"/>
        </w:rPr>
        <w:t xml:space="preserve">for the </w:t>
      </w:r>
      <w:proofErr w:type="spellStart"/>
      <w:r w:rsidR="009126C0">
        <w:rPr>
          <w:rFonts w:eastAsia="Times New Roman" w:cs="Arial"/>
        </w:rPr>
        <w:t>Manatua</w:t>
      </w:r>
      <w:proofErr w:type="spellEnd"/>
      <w:r w:rsidR="009126C0">
        <w:rPr>
          <w:rFonts w:eastAsia="Times New Roman" w:cs="Arial"/>
        </w:rPr>
        <w:t xml:space="preserve"> </w:t>
      </w:r>
      <w:r w:rsidR="005F1DE0">
        <w:rPr>
          <w:rFonts w:eastAsia="Times New Roman" w:cs="Arial"/>
        </w:rPr>
        <w:t>Cable</w:t>
      </w:r>
      <w:r w:rsidR="0092342A">
        <w:rPr>
          <w:rFonts w:eastAsia="Times New Roman" w:cs="Arial"/>
        </w:rPr>
        <w:t>.</w:t>
      </w:r>
      <w:r w:rsidR="005F1DE0">
        <w:rPr>
          <w:rFonts w:eastAsia="Times New Roman" w:cs="Arial"/>
        </w:rPr>
        <w:t xml:space="preserve"> </w:t>
      </w:r>
      <w:r w:rsidR="006A6F48">
        <w:rPr>
          <w:rFonts w:eastAsia="Times New Roman" w:cs="Arial"/>
        </w:rPr>
        <w:t xml:space="preserve">DXN </w:t>
      </w:r>
      <w:r w:rsidR="008A0F56">
        <w:rPr>
          <w:rFonts w:eastAsia="Times New Roman" w:cs="Arial"/>
        </w:rPr>
        <w:t>was awarded the NZ$1.2m (A$1.1</w:t>
      </w:r>
      <w:r w:rsidR="00DB2C91">
        <w:rPr>
          <w:rFonts w:eastAsia="Times New Roman" w:cs="Arial"/>
        </w:rPr>
        <w:t>5</w:t>
      </w:r>
      <w:r w:rsidR="004C31D3">
        <w:rPr>
          <w:rFonts w:eastAsia="Times New Roman" w:cs="Arial"/>
        </w:rPr>
        <w:t>m</w:t>
      </w:r>
      <w:r w:rsidR="008A0F56">
        <w:rPr>
          <w:rFonts w:eastAsia="Times New Roman" w:cs="Arial"/>
        </w:rPr>
        <w:t xml:space="preserve">) by </w:t>
      </w:r>
      <w:proofErr w:type="spellStart"/>
      <w:r w:rsidR="008A0F56">
        <w:rPr>
          <w:rFonts w:eastAsia="Times New Roman" w:cs="Arial"/>
        </w:rPr>
        <w:t>Avaroa</w:t>
      </w:r>
      <w:proofErr w:type="spellEnd"/>
      <w:r w:rsidR="008A0F56">
        <w:rPr>
          <w:rFonts w:eastAsia="Times New Roman" w:cs="Arial"/>
        </w:rPr>
        <w:t xml:space="preserve"> Cable Ltd</w:t>
      </w:r>
      <w:r w:rsidR="008720A6">
        <w:rPr>
          <w:rFonts w:eastAsia="Times New Roman" w:cs="Arial"/>
        </w:rPr>
        <w:t>, the state</w:t>
      </w:r>
      <w:r w:rsidR="002B3FE1">
        <w:rPr>
          <w:rFonts w:eastAsia="Times New Roman" w:cs="Arial"/>
        </w:rPr>
        <w:t>-</w:t>
      </w:r>
      <w:r w:rsidR="008720A6">
        <w:rPr>
          <w:rFonts w:eastAsia="Times New Roman" w:cs="Arial"/>
        </w:rPr>
        <w:t xml:space="preserve">owned enterprise </w:t>
      </w:r>
      <w:r w:rsidR="0092342A">
        <w:rPr>
          <w:rFonts w:eastAsia="Times New Roman" w:cs="Arial"/>
        </w:rPr>
        <w:t xml:space="preserve">from the Cook </w:t>
      </w:r>
      <w:r w:rsidR="000D5CA1">
        <w:rPr>
          <w:rFonts w:eastAsia="Times New Roman" w:cs="Arial"/>
        </w:rPr>
        <w:t xml:space="preserve">Islands and part of the </w:t>
      </w:r>
      <w:bookmarkStart w:id="4" w:name="_GoBack"/>
      <w:proofErr w:type="spellStart"/>
      <w:r w:rsidR="009126C0">
        <w:rPr>
          <w:rFonts w:eastAsia="Times New Roman" w:cs="Arial"/>
        </w:rPr>
        <w:t>Manatua</w:t>
      </w:r>
      <w:proofErr w:type="spellEnd"/>
      <w:r w:rsidR="009126C0">
        <w:rPr>
          <w:rFonts w:eastAsia="Times New Roman" w:cs="Arial"/>
        </w:rPr>
        <w:t xml:space="preserve"> </w:t>
      </w:r>
      <w:bookmarkEnd w:id="4"/>
      <w:r w:rsidR="004C31D3">
        <w:rPr>
          <w:rFonts w:eastAsia="Times New Roman" w:cs="Arial"/>
        </w:rPr>
        <w:t>Cable</w:t>
      </w:r>
      <w:r w:rsidR="000D5CA1">
        <w:rPr>
          <w:rFonts w:eastAsia="Times New Roman" w:cs="Arial"/>
        </w:rPr>
        <w:t xml:space="preserve"> Consortium</w:t>
      </w:r>
      <w:r w:rsidR="004C31D3">
        <w:rPr>
          <w:rFonts w:eastAsia="Times New Roman" w:cs="Arial"/>
        </w:rPr>
        <w:t xml:space="preserve">. </w:t>
      </w:r>
      <w:r w:rsidR="00051E2D">
        <w:rPr>
          <w:rFonts w:eastAsia="Times New Roman" w:cs="Arial"/>
        </w:rPr>
        <w:t>The two landing stations, destined for Rarotonga and Aitutaki, are expected to be installed later this year with full commissioning in May 2020. The contract win also follows confirmation late last month that DXN</w:t>
      </w:r>
      <w:r w:rsidR="00EF78EE">
        <w:rPr>
          <w:rFonts w:eastAsia="Times New Roman" w:cs="Arial"/>
        </w:rPr>
        <w:t xml:space="preserve">’s SYD01 data centre was progressing as planned with </w:t>
      </w:r>
      <w:r w:rsidR="001410C9">
        <w:rPr>
          <w:rFonts w:eastAsia="Times New Roman" w:cs="Arial"/>
        </w:rPr>
        <w:t xml:space="preserve">civil works now complete, cooling towers </w:t>
      </w:r>
      <w:r w:rsidR="006901EE">
        <w:rPr>
          <w:rFonts w:eastAsia="Times New Roman" w:cs="Arial"/>
        </w:rPr>
        <w:t xml:space="preserve">and </w:t>
      </w:r>
      <w:r w:rsidR="00C712BD">
        <w:rPr>
          <w:rFonts w:eastAsia="Times New Roman" w:cs="Arial"/>
        </w:rPr>
        <w:t>back</w:t>
      </w:r>
      <w:r w:rsidR="00F120B9">
        <w:rPr>
          <w:rFonts w:eastAsia="Times New Roman" w:cs="Arial"/>
        </w:rPr>
        <w:t>-</w:t>
      </w:r>
      <w:r w:rsidR="00C712BD">
        <w:rPr>
          <w:rFonts w:eastAsia="Times New Roman" w:cs="Arial"/>
        </w:rPr>
        <w:t xml:space="preserve">up </w:t>
      </w:r>
      <w:r w:rsidR="00414DAB">
        <w:rPr>
          <w:rFonts w:eastAsia="Times New Roman" w:cs="Arial"/>
        </w:rPr>
        <w:t>generators installed</w:t>
      </w:r>
      <w:r w:rsidR="006901EE">
        <w:rPr>
          <w:rFonts w:eastAsia="Times New Roman" w:cs="Arial"/>
        </w:rPr>
        <w:t>,</w:t>
      </w:r>
      <w:r w:rsidR="00414DAB">
        <w:rPr>
          <w:rFonts w:eastAsia="Times New Roman" w:cs="Arial"/>
        </w:rPr>
        <w:t xml:space="preserve"> </w:t>
      </w:r>
      <w:r w:rsidR="00C712BD">
        <w:rPr>
          <w:rFonts w:eastAsia="Times New Roman" w:cs="Arial"/>
        </w:rPr>
        <w:t>and mechanical services close to completion.</w:t>
      </w:r>
      <w:r w:rsidR="001410C9">
        <w:rPr>
          <w:rFonts w:eastAsia="Times New Roman" w:cs="Arial"/>
        </w:rPr>
        <w:t xml:space="preserve"> </w:t>
      </w:r>
      <w:r w:rsidR="00051E2D">
        <w:rPr>
          <w:rFonts w:eastAsia="Times New Roman" w:cs="Arial"/>
        </w:rPr>
        <w:t xml:space="preserve"> </w:t>
      </w:r>
      <w:r w:rsidR="00A43DA7" w:rsidRPr="00A43DA7">
        <w:rPr>
          <w:rFonts w:eastAsia="Times New Roman" w:cs="Arial"/>
        </w:rPr>
        <w:t>Our base case DCF valuation is $0.24/share (WACC 10.7%, terminal growth rate of 2.2%) and includes the dilution from anticipated capital raises from FY19-22. On the current share count of 361.3m share</w:t>
      </w:r>
      <w:r w:rsidR="00C712BD">
        <w:rPr>
          <w:rFonts w:eastAsia="Times New Roman" w:cs="Arial"/>
        </w:rPr>
        <w:t>s,</w:t>
      </w:r>
      <w:r w:rsidR="00A43DA7" w:rsidRPr="00A43DA7">
        <w:rPr>
          <w:rFonts w:eastAsia="Times New Roman" w:cs="Arial"/>
        </w:rPr>
        <w:t xml:space="preserve"> our base case valuation is $0.34/share.</w:t>
      </w:r>
    </w:p>
    <w:p w14:paraId="2894AFE1" w14:textId="77777777" w:rsidR="007C71D7" w:rsidRPr="007C71D7" w:rsidRDefault="007C71D7" w:rsidP="00F120B9">
      <w:pPr>
        <w:pStyle w:val="Heading2"/>
        <w:spacing w:after="0"/>
        <w:rPr>
          <w:sz w:val="24"/>
          <w:szCs w:val="24"/>
        </w:rPr>
      </w:pPr>
      <w:bookmarkStart w:id="5" w:name="_Toc10390644"/>
      <w:r w:rsidRPr="007C71D7">
        <w:rPr>
          <w:sz w:val="24"/>
          <w:szCs w:val="24"/>
        </w:rPr>
        <w:t>Business model</w:t>
      </w:r>
      <w:bookmarkEnd w:id="5"/>
    </w:p>
    <w:p w14:paraId="6B2C20FA" w14:textId="789A48C1" w:rsidR="007C71D7" w:rsidRPr="007C71D7" w:rsidRDefault="00DC247A" w:rsidP="007C71D7">
      <w:pPr>
        <w:spacing w:after="0" w:line="240" w:lineRule="auto"/>
        <w:rPr>
          <w:sz w:val="18"/>
          <w:szCs w:val="18"/>
          <w:lang w:val="en-GB"/>
        </w:rPr>
      </w:pPr>
      <w:r w:rsidRPr="00DC247A">
        <w:rPr>
          <w:sz w:val="18"/>
          <w:szCs w:val="18"/>
          <w:lang w:val="en-GB"/>
        </w:rPr>
        <w:t xml:space="preserve">The Data Exchange Network is building pre-fabricated modular co-location data centres in leased premises in Sydney, utilising its established engineering and manufacturing facility in Perth to deliver its custom-designed, inhouse data centre infrastructure. </w:t>
      </w:r>
      <w:r w:rsidR="00E52661">
        <w:rPr>
          <w:sz w:val="18"/>
          <w:szCs w:val="18"/>
          <w:lang w:val="en-GB"/>
        </w:rPr>
        <w:t>The company also has a site at Port Melbourne which i</w:t>
      </w:r>
      <w:r w:rsidR="00F560FB">
        <w:rPr>
          <w:sz w:val="18"/>
          <w:szCs w:val="18"/>
          <w:lang w:val="en-GB"/>
        </w:rPr>
        <w:t xml:space="preserve">s at an earlier stage of development. </w:t>
      </w:r>
      <w:r w:rsidRPr="00DC247A">
        <w:rPr>
          <w:sz w:val="18"/>
          <w:szCs w:val="18"/>
          <w:lang w:val="en-GB"/>
        </w:rPr>
        <w:t>The company’s</w:t>
      </w:r>
      <w:r w:rsidR="00E52661">
        <w:rPr>
          <w:sz w:val="18"/>
          <w:szCs w:val="18"/>
          <w:lang w:val="en-GB"/>
        </w:rPr>
        <w:t xml:space="preserve"> </w:t>
      </w:r>
      <w:r w:rsidRPr="00DC247A">
        <w:rPr>
          <w:sz w:val="18"/>
          <w:szCs w:val="18"/>
          <w:lang w:val="en-GB"/>
        </w:rPr>
        <w:t>strategy is to build capacity in stages starting with 1 MW or 145 racks in Sydney and gradually installing 5MW in Sydney and 6MW in Melbourne as demand fills existing infrastructure. This enables DXN to maintain a capital light model compared to traditional DCs which build greater capacity upfront. Revenue will be derived from manufacturing data centre modules for third parties, operating and renting rack space in its co-location data centres and from software licence fees for its monitoring, management and access control system. We forecast breakeven at 2.9MW built and $10m pa in DXN Module sales</w:t>
      </w:r>
      <w:r w:rsidR="00F560FB">
        <w:rPr>
          <w:sz w:val="18"/>
          <w:szCs w:val="18"/>
          <w:lang w:val="en-GB"/>
        </w:rPr>
        <w:t>.</w:t>
      </w:r>
    </w:p>
    <w:p w14:paraId="748EE283" w14:textId="15525E16" w:rsidR="007C71D7" w:rsidRDefault="00F560FB" w:rsidP="00F120B9">
      <w:pPr>
        <w:pStyle w:val="Heading2"/>
        <w:spacing w:after="0"/>
        <w:rPr>
          <w:sz w:val="24"/>
          <w:szCs w:val="24"/>
        </w:rPr>
      </w:pPr>
      <w:r>
        <w:rPr>
          <w:sz w:val="24"/>
          <w:szCs w:val="24"/>
        </w:rPr>
        <w:t>DXN Modules putting runs on the board</w:t>
      </w:r>
    </w:p>
    <w:p w14:paraId="10D1848A" w14:textId="04FAE8D9" w:rsidR="00DC247A" w:rsidRDefault="00206F01" w:rsidP="00776F25">
      <w:pPr>
        <w:spacing w:after="0" w:line="240" w:lineRule="auto"/>
        <w:rPr>
          <w:sz w:val="18"/>
          <w:szCs w:val="18"/>
          <w:lang w:val="en-GB"/>
        </w:rPr>
      </w:pPr>
      <w:r w:rsidRPr="00206F01">
        <w:rPr>
          <w:sz w:val="18"/>
          <w:szCs w:val="18"/>
          <w:lang w:val="en-GB"/>
        </w:rPr>
        <w:t xml:space="preserve">DXN </w:t>
      </w:r>
      <w:r w:rsidR="000261D3">
        <w:rPr>
          <w:sz w:val="18"/>
          <w:szCs w:val="18"/>
          <w:lang w:val="en-GB"/>
        </w:rPr>
        <w:t>c</w:t>
      </w:r>
      <w:r w:rsidR="00EF47C7" w:rsidRPr="00EF47C7">
        <w:rPr>
          <w:sz w:val="18"/>
          <w:szCs w:val="18"/>
          <w:lang w:val="en-GB"/>
        </w:rPr>
        <w:t>ontinues to benefit from the recently formed and focused DXN Modules which has now secured more than $2.5m contracts since May</w:t>
      </w:r>
      <w:r w:rsidR="005E23A8">
        <w:rPr>
          <w:sz w:val="18"/>
          <w:szCs w:val="18"/>
          <w:lang w:val="en-GB"/>
        </w:rPr>
        <w:t xml:space="preserve">. This includes the $500,000 contract to </w:t>
      </w:r>
      <w:r w:rsidRPr="00206F01">
        <w:rPr>
          <w:sz w:val="18"/>
          <w:szCs w:val="18"/>
          <w:lang w:val="en-GB"/>
        </w:rPr>
        <w:t>engineer, manufacture and install a cable landing station for the Government of Niue</w:t>
      </w:r>
      <w:r w:rsidR="005D4F1E">
        <w:rPr>
          <w:sz w:val="18"/>
          <w:szCs w:val="18"/>
          <w:lang w:val="en-GB"/>
        </w:rPr>
        <w:t xml:space="preserve">, </w:t>
      </w:r>
      <w:r w:rsidR="00F75138">
        <w:rPr>
          <w:sz w:val="18"/>
          <w:szCs w:val="18"/>
          <w:lang w:val="en-GB"/>
        </w:rPr>
        <w:t>a $1.0</w:t>
      </w:r>
      <w:r w:rsidR="003F700C">
        <w:rPr>
          <w:sz w:val="18"/>
          <w:szCs w:val="18"/>
          <w:lang w:val="en-GB"/>
        </w:rPr>
        <w:t>6</w:t>
      </w:r>
      <w:r w:rsidR="00F75138">
        <w:rPr>
          <w:sz w:val="18"/>
          <w:szCs w:val="18"/>
          <w:lang w:val="en-GB"/>
        </w:rPr>
        <w:t xml:space="preserve">m contract </w:t>
      </w:r>
      <w:r w:rsidR="003F700C">
        <w:rPr>
          <w:sz w:val="18"/>
          <w:szCs w:val="18"/>
          <w:lang w:val="en-GB"/>
        </w:rPr>
        <w:t xml:space="preserve">with WA wireless communications leader </w:t>
      </w:r>
      <w:proofErr w:type="spellStart"/>
      <w:r w:rsidR="003F700C">
        <w:rPr>
          <w:sz w:val="18"/>
          <w:szCs w:val="18"/>
          <w:lang w:val="en-GB"/>
        </w:rPr>
        <w:t>Radlink</w:t>
      </w:r>
      <w:proofErr w:type="spellEnd"/>
      <w:r w:rsidR="003F700C">
        <w:rPr>
          <w:sz w:val="18"/>
          <w:szCs w:val="18"/>
          <w:lang w:val="en-GB"/>
        </w:rPr>
        <w:t xml:space="preserve"> Communications to </w:t>
      </w:r>
      <w:r w:rsidR="00DE1E94">
        <w:rPr>
          <w:sz w:val="18"/>
          <w:szCs w:val="18"/>
          <w:lang w:val="en-GB"/>
        </w:rPr>
        <w:t>engineer and manufacture prefabricated communications modules for a global mining company’s Queensland mine and</w:t>
      </w:r>
      <w:r w:rsidR="0013083B">
        <w:rPr>
          <w:sz w:val="18"/>
          <w:szCs w:val="18"/>
          <w:lang w:val="en-GB"/>
        </w:rPr>
        <w:t xml:space="preserve"> the just announced Cook Islands’ contract. </w:t>
      </w:r>
      <w:r w:rsidRPr="00206F01">
        <w:rPr>
          <w:sz w:val="18"/>
          <w:szCs w:val="18"/>
          <w:lang w:val="en-GB"/>
        </w:rPr>
        <w:t xml:space="preserve">We had factored in an uptick in contract wins as a result </w:t>
      </w:r>
      <w:r w:rsidR="00871749">
        <w:rPr>
          <w:sz w:val="18"/>
          <w:szCs w:val="18"/>
          <w:lang w:val="en-GB"/>
        </w:rPr>
        <w:t>of the new</w:t>
      </w:r>
      <w:r w:rsidR="00B00A92">
        <w:rPr>
          <w:sz w:val="18"/>
          <w:szCs w:val="18"/>
          <w:lang w:val="en-GB"/>
        </w:rPr>
        <w:t xml:space="preserve"> focused DXN Modules </w:t>
      </w:r>
      <w:r w:rsidRPr="00206F01">
        <w:rPr>
          <w:sz w:val="18"/>
          <w:szCs w:val="18"/>
          <w:lang w:val="en-GB"/>
        </w:rPr>
        <w:t>in our recent re-initiation repor</w:t>
      </w:r>
      <w:r w:rsidR="00B15BD6">
        <w:rPr>
          <w:sz w:val="18"/>
          <w:szCs w:val="18"/>
          <w:lang w:val="en-GB"/>
        </w:rPr>
        <w:t xml:space="preserve">t </w:t>
      </w:r>
      <w:r w:rsidR="00654DB4">
        <w:rPr>
          <w:sz w:val="18"/>
          <w:szCs w:val="18"/>
          <w:lang w:val="en-GB"/>
        </w:rPr>
        <w:t>“</w:t>
      </w:r>
      <w:r w:rsidR="00B42F0F" w:rsidRPr="00654DB4">
        <w:rPr>
          <w:sz w:val="18"/>
          <w:szCs w:val="18"/>
          <w:lang w:val="en-GB"/>
        </w:rPr>
        <w:t>Manufacturing the edge in its data centre strategy</w:t>
      </w:r>
      <w:r w:rsidR="00654DB4">
        <w:rPr>
          <w:sz w:val="18"/>
          <w:szCs w:val="18"/>
          <w:lang w:val="en-GB"/>
        </w:rPr>
        <w:t>”</w:t>
      </w:r>
      <w:r w:rsidR="001C42B3">
        <w:rPr>
          <w:sz w:val="18"/>
          <w:szCs w:val="18"/>
          <w:lang w:val="en-GB"/>
        </w:rPr>
        <w:t>.</w:t>
      </w:r>
      <w:r w:rsidR="00654DB4">
        <w:rPr>
          <w:sz w:val="18"/>
          <w:szCs w:val="18"/>
          <w:lang w:val="en-GB"/>
        </w:rPr>
        <w:t xml:space="preserve"> </w:t>
      </w:r>
      <w:r w:rsidR="0018000D">
        <w:rPr>
          <w:sz w:val="18"/>
          <w:szCs w:val="18"/>
          <w:lang w:val="en-GB"/>
        </w:rPr>
        <w:t xml:space="preserve"> We are pleased to see that the sales progress remains in line with our expectations. </w:t>
      </w:r>
      <w:r w:rsidR="00041453">
        <w:rPr>
          <w:sz w:val="18"/>
          <w:szCs w:val="18"/>
          <w:lang w:val="en-GB"/>
        </w:rPr>
        <w:t xml:space="preserve">  </w:t>
      </w:r>
    </w:p>
    <w:p w14:paraId="5670EE09" w14:textId="2DCF9D47" w:rsidR="0064502D" w:rsidRDefault="003E116C" w:rsidP="00776F25">
      <w:pPr>
        <w:spacing w:after="0" w:line="240" w:lineRule="auto"/>
        <w:rPr>
          <w:sz w:val="20"/>
          <w:szCs w:val="20"/>
        </w:rPr>
      </w:pPr>
      <w:r>
        <w:rPr>
          <w:sz w:val="18"/>
          <w:szCs w:val="18"/>
          <w:lang w:val="en-GB"/>
        </w:rPr>
        <w:t xml:space="preserve"> </w:t>
      </w:r>
      <w:r w:rsidR="005B3AEA" w:rsidRPr="005B3AEA">
        <w:rPr>
          <w:sz w:val="18"/>
          <w:szCs w:val="18"/>
          <w:lang w:val="en-GB"/>
        </w:rPr>
        <w:t xml:space="preserve"> </w:t>
      </w:r>
      <w:sdt>
        <w:sdtPr>
          <w:alias w:val="Locked Section Break"/>
          <w:tag w:val="Locked Section Break"/>
          <w:id w:val="-1160535504"/>
          <w:lock w:val="contentLocked"/>
          <w:placeholder>
            <w:docPart w:val="15B0DB3D059146CDA305DC98D8E4D6BF"/>
          </w:placeholder>
          <w:showingPlcHdr/>
        </w:sdtPr>
        <w:sdtEndPr/>
        <w:sdtContent>
          <w:r w:rsidR="0064502D">
            <w:t xml:space="preserve"> </w:t>
          </w:r>
        </w:sdtContent>
      </w:sdt>
    </w:p>
    <w:tbl>
      <w:tblPr>
        <w:tblStyle w:val="TableGrid"/>
        <w:tblpPr w:leftFromText="181" w:rightFromText="181" w:tblpYSpec="bottom"/>
        <w:tblW w:w="6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tblGrid>
      <w:tr w:rsidR="0064502D" w14:paraId="2600A76F" w14:textId="77777777" w:rsidTr="006C53B4">
        <w:tc>
          <w:tcPr>
            <w:tcW w:w="6663" w:type="dxa"/>
            <w:hideMark/>
          </w:tcPr>
          <w:p w14:paraId="4568AECE" w14:textId="51ECE35F" w:rsidR="0064502D" w:rsidRDefault="0064502D" w:rsidP="006C53B4">
            <w:pPr>
              <w:pStyle w:val="Consensusestimates"/>
              <w:framePr w:hSpace="0" w:wrap="auto" w:yAlign="inline"/>
              <w:spacing w:before="0"/>
            </w:pPr>
            <w:r>
              <w:t>Historical earnings and RaaS Advisory estimates</w:t>
            </w:r>
            <w:r w:rsidR="006A19EB">
              <w:t xml:space="preserve"> (in </w:t>
            </w:r>
            <w:r w:rsidR="00E027E9">
              <w:t>A</w:t>
            </w:r>
            <w:r w:rsidR="006A19EB">
              <w:t>$m)</w:t>
            </w:r>
          </w:p>
          <w:tbl>
            <w:tblPr>
              <w:tblStyle w:val="TableStd"/>
              <w:tblW w:w="4973" w:type="pct"/>
              <w:jc w:val="right"/>
              <w:tblInd w:w="0" w:type="dxa"/>
              <w:tblLook w:val="04A0" w:firstRow="1" w:lastRow="0" w:firstColumn="1" w:lastColumn="0" w:noHBand="0" w:noVBand="1"/>
            </w:tblPr>
            <w:tblGrid>
              <w:gridCol w:w="949"/>
              <w:gridCol w:w="993"/>
              <w:gridCol w:w="1169"/>
              <w:gridCol w:w="1079"/>
              <w:gridCol w:w="900"/>
              <w:gridCol w:w="634"/>
              <w:gridCol w:w="903"/>
            </w:tblGrid>
            <w:tr w:rsidR="0053074E" w14:paraId="31163B7B" w14:textId="77777777" w:rsidTr="00855717">
              <w:trPr>
                <w:cnfStyle w:val="100000000000" w:firstRow="1" w:lastRow="0" w:firstColumn="0" w:lastColumn="0" w:oddVBand="0" w:evenVBand="0" w:oddHBand="0" w:evenHBand="0" w:firstRowFirstColumn="0" w:firstRowLastColumn="0" w:lastRowFirstColumn="0" w:lastRowLastColumn="0"/>
                <w:cantSplit/>
                <w:trHeight w:hRule="exact" w:val="340"/>
                <w:jc w:val="right"/>
              </w:trPr>
              <w:tc>
                <w:tcPr>
                  <w:tcW w:w="717" w:type="pct"/>
                  <w:tcBorders>
                    <w:bottom w:val="single" w:sz="4" w:space="0" w:color="FF0000"/>
                  </w:tcBorders>
                  <w:hideMark/>
                </w:tcPr>
                <w:p w14:paraId="5C06DF03" w14:textId="4E9114FC" w:rsidR="0053074E" w:rsidRPr="006D4603" w:rsidRDefault="0053074E" w:rsidP="004B7A0B">
                  <w:pPr>
                    <w:pStyle w:val="TableHeadingLeft"/>
                    <w:framePr w:hSpace="181" w:wrap="around" w:hAnchor="text" w:yAlign="bottom"/>
                    <w:spacing w:before="0" w:after="0"/>
                    <w:rPr>
                      <w:sz w:val="15"/>
                      <w:szCs w:val="15"/>
                    </w:rPr>
                  </w:pPr>
                  <w:r w:rsidRPr="006D4603">
                    <w:rPr>
                      <w:sz w:val="15"/>
                      <w:szCs w:val="15"/>
                    </w:rPr>
                    <w:t>Year end</w:t>
                  </w:r>
                </w:p>
              </w:tc>
              <w:tc>
                <w:tcPr>
                  <w:tcW w:w="750" w:type="pct"/>
                  <w:tcBorders>
                    <w:bottom w:val="single" w:sz="4" w:space="0" w:color="FF0000"/>
                  </w:tcBorders>
                  <w:hideMark/>
                </w:tcPr>
                <w:p w14:paraId="0EA66F8D" w14:textId="7CA4A6B5" w:rsidR="0053074E" w:rsidRPr="006D4603" w:rsidRDefault="0053074E" w:rsidP="004B7A0B">
                  <w:pPr>
                    <w:pStyle w:val="TableHeadingRight"/>
                    <w:framePr w:hSpace="181" w:wrap="around" w:hAnchor="text" w:yAlign="bottom"/>
                    <w:spacing w:before="0" w:after="0"/>
                    <w:rPr>
                      <w:sz w:val="15"/>
                      <w:szCs w:val="15"/>
                    </w:rPr>
                  </w:pPr>
                  <w:r w:rsidRPr="006D4603">
                    <w:rPr>
                      <w:sz w:val="15"/>
                      <w:szCs w:val="15"/>
                    </w:rPr>
                    <w:t xml:space="preserve">Revenue </w:t>
                  </w:r>
                </w:p>
              </w:tc>
              <w:tc>
                <w:tcPr>
                  <w:tcW w:w="883" w:type="pct"/>
                  <w:tcBorders>
                    <w:bottom w:val="single" w:sz="4" w:space="0" w:color="FF0000"/>
                  </w:tcBorders>
                  <w:hideMark/>
                </w:tcPr>
                <w:p w14:paraId="2212388F" w14:textId="32A1E788" w:rsidR="0053074E" w:rsidRPr="006D4603" w:rsidRDefault="0053074E" w:rsidP="004B7A0B">
                  <w:pPr>
                    <w:pStyle w:val="TableHeadingRight"/>
                    <w:framePr w:hSpace="181" w:wrap="around" w:hAnchor="text" w:yAlign="bottom"/>
                    <w:spacing w:before="0" w:after="0"/>
                    <w:rPr>
                      <w:sz w:val="15"/>
                      <w:szCs w:val="15"/>
                    </w:rPr>
                  </w:pPr>
                  <w:r w:rsidRPr="006D4603">
                    <w:rPr>
                      <w:sz w:val="15"/>
                      <w:szCs w:val="15"/>
                    </w:rPr>
                    <w:t>EBITDA reported</w:t>
                  </w:r>
                </w:p>
              </w:tc>
              <w:tc>
                <w:tcPr>
                  <w:tcW w:w="815" w:type="pct"/>
                  <w:tcBorders>
                    <w:bottom w:val="single" w:sz="4" w:space="0" w:color="FF0000"/>
                  </w:tcBorders>
                  <w:hideMark/>
                </w:tcPr>
                <w:p w14:paraId="3010929A" w14:textId="25BC26F1" w:rsidR="0053074E" w:rsidRPr="006D4603" w:rsidRDefault="0053074E" w:rsidP="004B7A0B">
                  <w:pPr>
                    <w:pStyle w:val="TableHeadingRight"/>
                    <w:framePr w:hSpace="181" w:wrap="around" w:hAnchor="text" w:yAlign="bottom"/>
                    <w:spacing w:before="0" w:after="0"/>
                    <w:rPr>
                      <w:sz w:val="15"/>
                      <w:szCs w:val="15"/>
                    </w:rPr>
                  </w:pPr>
                  <w:r w:rsidRPr="006D4603">
                    <w:rPr>
                      <w:sz w:val="15"/>
                      <w:szCs w:val="15"/>
                    </w:rPr>
                    <w:t>NPAT reported</w:t>
                  </w:r>
                </w:p>
              </w:tc>
              <w:tc>
                <w:tcPr>
                  <w:tcW w:w="679" w:type="pct"/>
                  <w:tcBorders>
                    <w:bottom w:val="single" w:sz="4" w:space="0" w:color="FF0000"/>
                  </w:tcBorders>
                  <w:hideMark/>
                </w:tcPr>
                <w:p w14:paraId="06D4F0D2" w14:textId="283D592F" w:rsidR="0053074E" w:rsidRPr="006D4603" w:rsidRDefault="0053074E" w:rsidP="004B7A0B">
                  <w:pPr>
                    <w:pStyle w:val="TableHeadingRight"/>
                    <w:framePr w:hSpace="181" w:wrap="around" w:hAnchor="text" w:yAlign="bottom"/>
                    <w:spacing w:before="0" w:after="0"/>
                    <w:rPr>
                      <w:sz w:val="15"/>
                      <w:szCs w:val="15"/>
                    </w:rPr>
                  </w:pPr>
                  <w:r w:rsidRPr="006D4603">
                    <w:rPr>
                      <w:sz w:val="15"/>
                      <w:szCs w:val="15"/>
                    </w:rPr>
                    <w:t>EPS (c)</w:t>
                  </w:r>
                </w:p>
              </w:tc>
              <w:tc>
                <w:tcPr>
                  <w:tcW w:w="475" w:type="pct"/>
                  <w:tcBorders>
                    <w:bottom w:val="single" w:sz="4" w:space="0" w:color="FF0000"/>
                    <w:right w:val="nil"/>
                  </w:tcBorders>
                  <w:hideMark/>
                </w:tcPr>
                <w:p w14:paraId="322757B8" w14:textId="25F15E06" w:rsidR="0053074E" w:rsidRPr="006D4603" w:rsidRDefault="0053074E" w:rsidP="004B7A0B">
                  <w:pPr>
                    <w:pStyle w:val="TableHeadingRight"/>
                    <w:framePr w:hSpace="181" w:wrap="around" w:hAnchor="text" w:yAlign="bottom"/>
                    <w:spacing w:before="0" w:after="0"/>
                    <w:rPr>
                      <w:sz w:val="15"/>
                      <w:szCs w:val="15"/>
                    </w:rPr>
                  </w:pPr>
                  <w:r w:rsidRPr="0053074E">
                    <w:rPr>
                      <w:sz w:val="15"/>
                      <w:szCs w:val="15"/>
                    </w:rPr>
                    <w:t xml:space="preserve">EV/Sales (x) </w:t>
                  </w:r>
                </w:p>
              </w:tc>
              <w:tc>
                <w:tcPr>
                  <w:tcW w:w="681" w:type="pct"/>
                  <w:tcBorders>
                    <w:bottom w:val="single" w:sz="4" w:space="0" w:color="FF0000"/>
                  </w:tcBorders>
                </w:tcPr>
                <w:p w14:paraId="4DDCF7AB" w14:textId="1769CB85" w:rsidR="0053074E" w:rsidRPr="006D4603" w:rsidRDefault="0053074E" w:rsidP="004B7A0B">
                  <w:pPr>
                    <w:pStyle w:val="TableHeadingRight"/>
                    <w:framePr w:hSpace="181" w:wrap="around" w:hAnchor="text" w:yAlign="bottom"/>
                    <w:spacing w:before="0" w:after="0"/>
                    <w:rPr>
                      <w:sz w:val="15"/>
                      <w:szCs w:val="15"/>
                    </w:rPr>
                  </w:pPr>
                  <w:r w:rsidRPr="0053074E">
                    <w:rPr>
                      <w:sz w:val="15"/>
                      <w:szCs w:val="15"/>
                    </w:rPr>
                    <w:t>EV/EBITDA (x)</w:t>
                  </w:r>
                </w:p>
              </w:tc>
            </w:tr>
            <w:tr w:rsidR="00855717" w14:paraId="0B625BF5" w14:textId="77777777" w:rsidTr="00855717">
              <w:trPr>
                <w:cantSplit/>
                <w:trHeight w:val="184"/>
                <w:jc w:val="right"/>
              </w:trPr>
              <w:tc>
                <w:tcPr>
                  <w:tcW w:w="717" w:type="pct"/>
                  <w:tcBorders>
                    <w:top w:val="single" w:sz="4" w:space="0" w:color="FF0000"/>
                    <w:left w:val="nil"/>
                    <w:bottom w:val="single" w:sz="4" w:space="0" w:color="A6A6A6" w:themeColor="background1" w:themeShade="A6"/>
                    <w:right w:val="nil"/>
                  </w:tcBorders>
                  <w:tcMar>
                    <w:top w:w="34" w:type="dxa"/>
                    <w:left w:w="57" w:type="dxa"/>
                    <w:bottom w:w="34" w:type="dxa"/>
                    <w:right w:w="57" w:type="dxa"/>
                  </w:tcMar>
                  <w:hideMark/>
                </w:tcPr>
                <w:p w14:paraId="3CF4A7CA" w14:textId="79C0B5D7" w:rsidR="00855717" w:rsidRPr="006D4603" w:rsidRDefault="00855717" w:rsidP="004B7A0B">
                  <w:pPr>
                    <w:pStyle w:val="TableTextLeft"/>
                    <w:framePr w:hSpace="181" w:wrap="around" w:hAnchor="text" w:yAlign="bottom"/>
                    <w:rPr>
                      <w:sz w:val="15"/>
                      <w:szCs w:val="15"/>
                    </w:rPr>
                  </w:pPr>
                  <w:r>
                    <w:rPr>
                      <w:sz w:val="15"/>
                      <w:szCs w:val="15"/>
                    </w:rPr>
                    <w:t>06</w:t>
                  </w:r>
                  <w:r w:rsidRPr="006D4603">
                    <w:rPr>
                      <w:sz w:val="15"/>
                      <w:szCs w:val="15"/>
                    </w:rPr>
                    <w:t>18a</w:t>
                  </w:r>
                </w:p>
              </w:tc>
              <w:tc>
                <w:tcPr>
                  <w:tcW w:w="750" w:type="pct"/>
                  <w:tcBorders>
                    <w:top w:val="single" w:sz="4" w:space="0" w:color="FF0000"/>
                    <w:left w:val="nil"/>
                    <w:bottom w:val="single" w:sz="4" w:space="0" w:color="A6A6A6" w:themeColor="background1" w:themeShade="A6"/>
                    <w:right w:val="nil"/>
                  </w:tcBorders>
                  <w:tcMar>
                    <w:top w:w="34" w:type="dxa"/>
                    <w:left w:w="57" w:type="dxa"/>
                    <w:bottom w:w="34" w:type="dxa"/>
                    <w:right w:w="57" w:type="dxa"/>
                  </w:tcMar>
                </w:tcPr>
                <w:p w14:paraId="10D5BC83" w14:textId="7CEFF4CC" w:rsidR="00855717" w:rsidRPr="006D4603" w:rsidRDefault="00855717" w:rsidP="004B7A0B">
                  <w:pPr>
                    <w:pStyle w:val="TableTextLeft"/>
                    <w:framePr w:hSpace="181" w:wrap="around" w:hAnchor="text" w:yAlign="bottom"/>
                    <w:jc w:val="right"/>
                    <w:rPr>
                      <w:sz w:val="15"/>
                      <w:szCs w:val="15"/>
                    </w:rPr>
                  </w:pPr>
                  <w:r w:rsidRPr="002F7C22">
                    <w:t>2.0</w:t>
                  </w:r>
                </w:p>
              </w:tc>
              <w:tc>
                <w:tcPr>
                  <w:tcW w:w="883" w:type="pct"/>
                  <w:tcBorders>
                    <w:top w:val="single" w:sz="4" w:space="0" w:color="FF0000"/>
                    <w:left w:val="nil"/>
                    <w:bottom w:val="single" w:sz="4" w:space="0" w:color="A6A6A6" w:themeColor="background1" w:themeShade="A6"/>
                    <w:right w:val="nil"/>
                  </w:tcBorders>
                  <w:tcMar>
                    <w:top w:w="34" w:type="dxa"/>
                    <w:left w:w="57" w:type="dxa"/>
                    <w:bottom w:w="34" w:type="dxa"/>
                    <w:right w:w="57" w:type="dxa"/>
                  </w:tcMar>
                </w:tcPr>
                <w:p w14:paraId="72ADB60B" w14:textId="3D8AE827" w:rsidR="00855717" w:rsidRPr="006D4603" w:rsidRDefault="00855717" w:rsidP="004B7A0B">
                  <w:pPr>
                    <w:pStyle w:val="TableTextLeft"/>
                    <w:framePr w:hSpace="181" w:wrap="around" w:hAnchor="text" w:yAlign="bottom"/>
                    <w:jc w:val="right"/>
                    <w:rPr>
                      <w:sz w:val="15"/>
                      <w:szCs w:val="15"/>
                    </w:rPr>
                  </w:pPr>
                  <w:r w:rsidRPr="002F7C22">
                    <w:t>(4.0)</w:t>
                  </w:r>
                </w:p>
              </w:tc>
              <w:tc>
                <w:tcPr>
                  <w:tcW w:w="815" w:type="pct"/>
                  <w:tcBorders>
                    <w:top w:val="single" w:sz="4" w:space="0" w:color="FF0000"/>
                    <w:left w:val="nil"/>
                    <w:bottom w:val="single" w:sz="4" w:space="0" w:color="A6A6A6" w:themeColor="background1" w:themeShade="A6"/>
                    <w:right w:val="nil"/>
                  </w:tcBorders>
                  <w:tcMar>
                    <w:top w:w="34" w:type="dxa"/>
                    <w:left w:w="57" w:type="dxa"/>
                    <w:bottom w:w="34" w:type="dxa"/>
                    <w:right w:w="57" w:type="dxa"/>
                  </w:tcMar>
                </w:tcPr>
                <w:p w14:paraId="0D2DB6A4" w14:textId="30597C5B" w:rsidR="00855717" w:rsidRPr="006D4603" w:rsidRDefault="00855717" w:rsidP="004B7A0B">
                  <w:pPr>
                    <w:pStyle w:val="TableTextLeft"/>
                    <w:framePr w:hSpace="181" w:wrap="around" w:hAnchor="text" w:yAlign="bottom"/>
                    <w:jc w:val="right"/>
                    <w:rPr>
                      <w:sz w:val="15"/>
                      <w:szCs w:val="15"/>
                    </w:rPr>
                  </w:pPr>
                  <w:r w:rsidRPr="002F7C22">
                    <w:t>(5.7)</w:t>
                  </w:r>
                </w:p>
              </w:tc>
              <w:tc>
                <w:tcPr>
                  <w:tcW w:w="679" w:type="pct"/>
                  <w:tcBorders>
                    <w:top w:val="single" w:sz="4" w:space="0" w:color="FF0000"/>
                    <w:left w:val="nil"/>
                    <w:bottom w:val="single" w:sz="4" w:space="0" w:color="A6A6A6" w:themeColor="background1" w:themeShade="A6"/>
                    <w:right w:val="nil"/>
                  </w:tcBorders>
                  <w:tcMar>
                    <w:top w:w="34" w:type="dxa"/>
                    <w:left w:w="57" w:type="dxa"/>
                    <w:bottom w:w="34" w:type="dxa"/>
                    <w:right w:w="57" w:type="dxa"/>
                  </w:tcMar>
                </w:tcPr>
                <w:p w14:paraId="2DC461C2" w14:textId="69363D11" w:rsidR="00855717" w:rsidRPr="006D4603" w:rsidRDefault="00855717" w:rsidP="004B7A0B">
                  <w:pPr>
                    <w:pStyle w:val="TableTextLeft"/>
                    <w:framePr w:hSpace="181" w:wrap="around" w:hAnchor="text" w:yAlign="bottom"/>
                    <w:jc w:val="right"/>
                    <w:rPr>
                      <w:sz w:val="15"/>
                      <w:szCs w:val="15"/>
                    </w:rPr>
                  </w:pPr>
                  <w:r w:rsidRPr="002F7C22">
                    <w:t>(5.86)</w:t>
                  </w:r>
                </w:p>
              </w:tc>
              <w:tc>
                <w:tcPr>
                  <w:tcW w:w="475" w:type="pct"/>
                  <w:tcBorders>
                    <w:top w:val="single" w:sz="4" w:space="0" w:color="FF0000"/>
                    <w:left w:val="nil"/>
                    <w:bottom w:val="single" w:sz="4" w:space="0" w:color="A6A6A6" w:themeColor="background1" w:themeShade="A6"/>
                    <w:right w:val="nil"/>
                  </w:tcBorders>
                  <w:tcMar>
                    <w:top w:w="34" w:type="dxa"/>
                    <w:left w:w="57" w:type="dxa"/>
                    <w:bottom w:w="34" w:type="dxa"/>
                    <w:right w:w="57" w:type="dxa"/>
                  </w:tcMar>
                </w:tcPr>
                <w:p w14:paraId="61E72172" w14:textId="114218EF" w:rsidR="00855717" w:rsidRPr="006D4603" w:rsidRDefault="00855717" w:rsidP="004B7A0B">
                  <w:pPr>
                    <w:pStyle w:val="TableTextLeft"/>
                    <w:framePr w:hSpace="181" w:wrap="around" w:hAnchor="text" w:yAlign="bottom"/>
                    <w:jc w:val="center"/>
                    <w:rPr>
                      <w:sz w:val="15"/>
                      <w:szCs w:val="15"/>
                    </w:rPr>
                  </w:pPr>
                  <w:r w:rsidRPr="002F7C22">
                    <w:t xml:space="preserve"> </w:t>
                  </w:r>
                  <w:r w:rsidR="0053074E">
                    <w:t xml:space="preserve">       na</w:t>
                  </w:r>
                </w:p>
              </w:tc>
              <w:tc>
                <w:tcPr>
                  <w:tcW w:w="681" w:type="pct"/>
                  <w:tcBorders>
                    <w:top w:val="single" w:sz="4" w:space="0" w:color="FF0000"/>
                    <w:left w:val="nil"/>
                    <w:bottom w:val="single" w:sz="4" w:space="0" w:color="A6A6A6" w:themeColor="background1" w:themeShade="A6"/>
                    <w:right w:val="nil"/>
                  </w:tcBorders>
                </w:tcPr>
                <w:p w14:paraId="7AFB07AC" w14:textId="304D50DB" w:rsidR="00855717" w:rsidRPr="006D4603" w:rsidRDefault="00855717" w:rsidP="004B7A0B">
                  <w:pPr>
                    <w:pStyle w:val="TableTextLeft"/>
                    <w:framePr w:hSpace="181" w:wrap="around" w:hAnchor="text" w:yAlign="bottom"/>
                    <w:jc w:val="right"/>
                    <w:rPr>
                      <w:sz w:val="15"/>
                      <w:szCs w:val="15"/>
                    </w:rPr>
                  </w:pPr>
                  <w:r w:rsidRPr="002F7C22">
                    <w:t xml:space="preserve"> na </w:t>
                  </w:r>
                </w:p>
              </w:tc>
            </w:tr>
            <w:tr w:rsidR="00855717" w14:paraId="4BB39E6A" w14:textId="77777777" w:rsidTr="00855717">
              <w:trPr>
                <w:cantSplit/>
                <w:trHeight w:val="166"/>
                <w:jc w:val="right"/>
              </w:trPr>
              <w:tc>
                <w:tcPr>
                  <w:tcW w:w="717"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hideMark/>
                </w:tcPr>
                <w:p w14:paraId="576E6CE4" w14:textId="6B9CC7BB" w:rsidR="00855717" w:rsidRPr="006D4603" w:rsidRDefault="00855717" w:rsidP="004B7A0B">
                  <w:pPr>
                    <w:pStyle w:val="TableTextLeft"/>
                    <w:framePr w:hSpace="181" w:wrap="around" w:hAnchor="text" w:yAlign="bottom"/>
                    <w:rPr>
                      <w:sz w:val="15"/>
                      <w:szCs w:val="15"/>
                    </w:rPr>
                  </w:pPr>
                  <w:r>
                    <w:rPr>
                      <w:sz w:val="15"/>
                      <w:szCs w:val="15"/>
                    </w:rPr>
                    <w:t>06</w:t>
                  </w:r>
                  <w:r w:rsidRPr="006D4603">
                    <w:rPr>
                      <w:sz w:val="15"/>
                      <w:szCs w:val="15"/>
                    </w:rPr>
                    <w:t>/19e</w:t>
                  </w:r>
                </w:p>
              </w:tc>
              <w:tc>
                <w:tcPr>
                  <w:tcW w:w="750"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42544B15" w14:textId="7032A83F" w:rsidR="00855717" w:rsidRPr="006D4603" w:rsidRDefault="00855717" w:rsidP="004B7A0B">
                  <w:pPr>
                    <w:pStyle w:val="TableTextLeft"/>
                    <w:framePr w:hSpace="181" w:wrap="around" w:hAnchor="text" w:yAlign="bottom"/>
                    <w:jc w:val="right"/>
                    <w:rPr>
                      <w:sz w:val="15"/>
                      <w:szCs w:val="15"/>
                    </w:rPr>
                  </w:pPr>
                  <w:r w:rsidRPr="002F7C22">
                    <w:t>2.6</w:t>
                  </w:r>
                </w:p>
              </w:tc>
              <w:tc>
                <w:tcPr>
                  <w:tcW w:w="883"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36D13FD1" w14:textId="18FFA4D1" w:rsidR="00855717" w:rsidRPr="006D4603" w:rsidRDefault="00855717" w:rsidP="004B7A0B">
                  <w:pPr>
                    <w:pStyle w:val="TableTextLeft"/>
                    <w:framePr w:hSpace="181" w:wrap="around" w:hAnchor="text" w:yAlign="bottom"/>
                    <w:jc w:val="right"/>
                    <w:rPr>
                      <w:sz w:val="15"/>
                      <w:szCs w:val="15"/>
                    </w:rPr>
                  </w:pPr>
                  <w:r w:rsidRPr="002F7C22">
                    <w:t>(7.3)</w:t>
                  </w:r>
                </w:p>
              </w:tc>
              <w:tc>
                <w:tcPr>
                  <w:tcW w:w="815"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148A10F1" w14:textId="3E641668" w:rsidR="00855717" w:rsidRPr="006D4603" w:rsidRDefault="00855717" w:rsidP="004B7A0B">
                  <w:pPr>
                    <w:pStyle w:val="TableTextLeft"/>
                    <w:framePr w:hSpace="181" w:wrap="around" w:hAnchor="text" w:yAlign="bottom"/>
                    <w:jc w:val="right"/>
                    <w:rPr>
                      <w:sz w:val="15"/>
                      <w:szCs w:val="15"/>
                    </w:rPr>
                  </w:pPr>
                  <w:r w:rsidRPr="002F7C22">
                    <w:t>(6.1)</w:t>
                  </w:r>
                </w:p>
              </w:tc>
              <w:tc>
                <w:tcPr>
                  <w:tcW w:w="679"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0FB8A321" w14:textId="75E07449" w:rsidR="00855717" w:rsidRPr="006D4603" w:rsidRDefault="00855717" w:rsidP="004B7A0B">
                  <w:pPr>
                    <w:pStyle w:val="TableTextLeft"/>
                    <w:framePr w:hSpace="181" w:wrap="around" w:hAnchor="text" w:yAlign="bottom"/>
                    <w:jc w:val="right"/>
                    <w:rPr>
                      <w:sz w:val="15"/>
                      <w:szCs w:val="15"/>
                    </w:rPr>
                  </w:pPr>
                  <w:r w:rsidRPr="002F7C22">
                    <w:t>(2.04)</w:t>
                  </w:r>
                </w:p>
              </w:tc>
              <w:tc>
                <w:tcPr>
                  <w:tcW w:w="475"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3956D798" w14:textId="502BA570" w:rsidR="00855717" w:rsidRPr="006D4603" w:rsidRDefault="00855717" w:rsidP="004B7A0B">
                  <w:pPr>
                    <w:pStyle w:val="TableTextLeft"/>
                    <w:framePr w:hSpace="181" w:wrap="around" w:hAnchor="text" w:yAlign="bottom"/>
                    <w:jc w:val="right"/>
                    <w:rPr>
                      <w:sz w:val="15"/>
                      <w:szCs w:val="15"/>
                    </w:rPr>
                  </w:pPr>
                  <w:r w:rsidRPr="002F7C22">
                    <w:t xml:space="preserve"> 5.77 </w:t>
                  </w:r>
                </w:p>
              </w:tc>
              <w:tc>
                <w:tcPr>
                  <w:tcW w:w="681" w:type="pct"/>
                  <w:tcBorders>
                    <w:top w:val="single" w:sz="4" w:space="0" w:color="A6A6A6" w:themeColor="background1" w:themeShade="A6"/>
                    <w:left w:val="nil"/>
                    <w:bottom w:val="single" w:sz="4" w:space="0" w:color="A6A6A6" w:themeColor="background1" w:themeShade="A6"/>
                    <w:right w:val="nil"/>
                  </w:tcBorders>
                </w:tcPr>
                <w:p w14:paraId="5399BB4F" w14:textId="21DE0A04" w:rsidR="00855717" w:rsidRPr="006D4603" w:rsidRDefault="00855717" w:rsidP="004B7A0B">
                  <w:pPr>
                    <w:pStyle w:val="TableTextLeft"/>
                    <w:framePr w:hSpace="181" w:wrap="around" w:hAnchor="text" w:yAlign="bottom"/>
                    <w:jc w:val="right"/>
                    <w:rPr>
                      <w:sz w:val="15"/>
                      <w:szCs w:val="15"/>
                    </w:rPr>
                  </w:pPr>
                  <w:r w:rsidRPr="002F7C22">
                    <w:t xml:space="preserve"> na </w:t>
                  </w:r>
                </w:p>
              </w:tc>
            </w:tr>
            <w:tr w:rsidR="00855717" w14:paraId="466D7D23" w14:textId="77777777" w:rsidTr="00855717">
              <w:trPr>
                <w:cantSplit/>
                <w:jc w:val="right"/>
              </w:trPr>
              <w:tc>
                <w:tcPr>
                  <w:tcW w:w="717"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hideMark/>
                </w:tcPr>
                <w:p w14:paraId="44D124BF" w14:textId="2799AD90" w:rsidR="00855717" w:rsidRPr="006D4603" w:rsidRDefault="00855717" w:rsidP="004B7A0B">
                  <w:pPr>
                    <w:pStyle w:val="TableTextLeft"/>
                    <w:framePr w:hSpace="181" w:wrap="around" w:hAnchor="text" w:yAlign="bottom"/>
                    <w:pBdr>
                      <w:between w:val="single" w:sz="18" w:space="1" w:color="FF0000"/>
                    </w:pBdr>
                    <w:rPr>
                      <w:sz w:val="15"/>
                      <w:szCs w:val="15"/>
                    </w:rPr>
                  </w:pPr>
                  <w:r>
                    <w:rPr>
                      <w:sz w:val="15"/>
                      <w:szCs w:val="15"/>
                    </w:rPr>
                    <w:t>06/</w:t>
                  </w:r>
                  <w:r w:rsidRPr="006D4603">
                    <w:rPr>
                      <w:sz w:val="15"/>
                      <w:szCs w:val="15"/>
                    </w:rPr>
                    <w:t>20e</w:t>
                  </w:r>
                </w:p>
              </w:tc>
              <w:tc>
                <w:tcPr>
                  <w:tcW w:w="750"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267B7DDE" w14:textId="68601471" w:rsidR="00855717" w:rsidRPr="006D4603" w:rsidRDefault="00855717" w:rsidP="004B7A0B">
                  <w:pPr>
                    <w:pStyle w:val="TableTextLeft"/>
                    <w:framePr w:hSpace="181" w:wrap="around" w:hAnchor="text" w:yAlign="bottom"/>
                    <w:jc w:val="right"/>
                    <w:rPr>
                      <w:sz w:val="15"/>
                      <w:szCs w:val="15"/>
                    </w:rPr>
                  </w:pPr>
                  <w:r w:rsidRPr="002F7C22">
                    <w:t>18.8</w:t>
                  </w:r>
                </w:p>
              </w:tc>
              <w:tc>
                <w:tcPr>
                  <w:tcW w:w="883"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6A987640" w14:textId="333146F8" w:rsidR="00855717" w:rsidRPr="006D4603" w:rsidRDefault="00855717" w:rsidP="004B7A0B">
                  <w:pPr>
                    <w:pStyle w:val="TableTextLeft"/>
                    <w:framePr w:hSpace="181" w:wrap="around" w:hAnchor="text" w:yAlign="bottom"/>
                    <w:jc w:val="right"/>
                    <w:rPr>
                      <w:sz w:val="15"/>
                      <w:szCs w:val="15"/>
                    </w:rPr>
                  </w:pPr>
                  <w:r w:rsidRPr="002F7C22">
                    <w:t>(2.1)</w:t>
                  </w:r>
                </w:p>
              </w:tc>
              <w:tc>
                <w:tcPr>
                  <w:tcW w:w="815"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75FD75D3" w14:textId="344899B7" w:rsidR="00855717" w:rsidRPr="006D4603" w:rsidRDefault="00855717" w:rsidP="004B7A0B">
                  <w:pPr>
                    <w:pStyle w:val="TableTextLeft"/>
                    <w:framePr w:hSpace="181" w:wrap="around" w:hAnchor="text" w:yAlign="bottom"/>
                    <w:jc w:val="right"/>
                    <w:rPr>
                      <w:sz w:val="15"/>
                      <w:szCs w:val="15"/>
                    </w:rPr>
                  </w:pPr>
                  <w:r w:rsidRPr="002F7C22">
                    <w:t>(2.2)</w:t>
                  </w:r>
                </w:p>
              </w:tc>
              <w:tc>
                <w:tcPr>
                  <w:tcW w:w="679"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179E142B" w14:textId="3D0E6D40" w:rsidR="00855717" w:rsidRPr="006D4603" w:rsidRDefault="00855717" w:rsidP="004B7A0B">
                  <w:pPr>
                    <w:pStyle w:val="TableTextLeft"/>
                    <w:framePr w:hSpace="181" w:wrap="around" w:hAnchor="text" w:yAlign="bottom"/>
                    <w:jc w:val="right"/>
                    <w:rPr>
                      <w:sz w:val="15"/>
                      <w:szCs w:val="15"/>
                    </w:rPr>
                  </w:pPr>
                  <w:r w:rsidRPr="002F7C22">
                    <w:t>(0.46)</w:t>
                  </w:r>
                </w:p>
              </w:tc>
              <w:tc>
                <w:tcPr>
                  <w:tcW w:w="475" w:type="pct"/>
                  <w:tcBorders>
                    <w:top w:val="single" w:sz="4" w:space="0" w:color="A6A6A6" w:themeColor="background1" w:themeShade="A6"/>
                    <w:left w:val="nil"/>
                    <w:bottom w:val="single" w:sz="4" w:space="0" w:color="A6A6A6" w:themeColor="background1" w:themeShade="A6"/>
                    <w:right w:val="nil"/>
                  </w:tcBorders>
                  <w:tcMar>
                    <w:top w:w="34" w:type="dxa"/>
                    <w:left w:w="57" w:type="dxa"/>
                    <w:bottom w:w="34" w:type="dxa"/>
                    <w:right w:w="57" w:type="dxa"/>
                  </w:tcMar>
                </w:tcPr>
                <w:p w14:paraId="26787A7B" w14:textId="30204DA9" w:rsidR="00855717" w:rsidRPr="006D4603" w:rsidRDefault="00855717" w:rsidP="004B7A0B">
                  <w:pPr>
                    <w:pStyle w:val="TableTextLeft"/>
                    <w:framePr w:hSpace="181" w:wrap="around" w:hAnchor="text" w:yAlign="bottom"/>
                    <w:jc w:val="right"/>
                    <w:rPr>
                      <w:sz w:val="15"/>
                      <w:szCs w:val="15"/>
                    </w:rPr>
                  </w:pPr>
                  <w:r w:rsidRPr="002F7C22">
                    <w:t xml:space="preserve"> 0.96 </w:t>
                  </w:r>
                </w:p>
              </w:tc>
              <w:tc>
                <w:tcPr>
                  <w:tcW w:w="681" w:type="pct"/>
                  <w:tcBorders>
                    <w:top w:val="single" w:sz="4" w:space="0" w:color="A6A6A6" w:themeColor="background1" w:themeShade="A6"/>
                    <w:left w:val="nil"/>
                    <w:bottom w:val="single" w:sz="4" w:space="0" w:color="A6A6A6" w:themeColor="background1" w:themeShade="A6"/>
                    <w:right w:val="nil"/>
                  </w:tcBorders>
                </w:tcPr>
                <w:p w14:paraId="76FF97BF" w14:textId="33FAC9F5" w:rsidR="00855717" w:rsidRPr="006D4603" w:rsidRDefault="00855717" w:rsidP="004B7A0B">
                  <w:pPr>
                    <w:pStyle w:val="TableTextLeft"/>
                    <w:framePr w:hSpace="181" w:wrap="around" w:hAnchor="text" w:yAlign="bottom"/>
                    <w:jc w:val="right"/>
                    <w:rPr>
                      <w:sz w:val="15"/>
                      <w:szCs w:val="15"/>
                    </w:rPr>
                  </w:pPr>
                  <w:r w:rsidRPr="002F7C22">
                    <w:t xml:space="preserve"> na </w:t>
                  </w:r>
                </w:p>
              </w:tc>
            </w:tr>
            <w:tr w:rsidR="00855717" w14:paraId="07397771" w14:textId="77777777" w:rsidTr="00855717">
              <w:trPr>
                <w:cantSplit/>
                <w:jc w:val="right"/>
              </w:trPr>
              <w:tc>
                <w:tcPr>
                  <w:tcW w:w="717" w:type="pct"/>
                  <w:tcBorders>
                    <w:top w:val="single" w:sz="4" w:space="0" w:color="A6A6A6" w:themeColor="background1" w:themeShade="A6"/>
                    <w:left w:val="nil"/>
                    <w:bottom w:val="single" w:sz="12" w:space="0" w:color="FF0000"/>
                    <w:right w:val="nil"/>
                  </w:tcBorders>
                  <w:tcMar>
                    <w:top w:w="34" w:type="dxa"/>
                    <w:left w:w="57" w:type="dxa"/>
                    <w:bottom w:w="34" w:type="dxa"/>
                    <w:right w:w="57" w:type="dxa"/>
                  </w:tcMar>
                </w:tcPr>
                <w:p w14:paraId="71668034" w14:textId="1978DAD4" w:rsidR="00855717" w:rsidRPr="006D4603" w:rsidRDefault="00855717" w:rsidP="004B7A0B">
                  <w:pPr>
                    <w:pStyle w:val="TableTextLeft"/>
                    <w:framePr w:hSpace="181" w:wrap="around" w:hAnchor="text" w:yAlign="bottom"/>
                    <w:pBdr>
                      <w:between w:val="single" w:sz="18" w:space="1" w:color="FF0000"/>
                    </w:pBdr>
                    <w:rPr>
                      <w:sz w:val="15"/>
                      <w:szCs w:val="15"/>
                    </w:rPr>
                  </w:pPr>
                  <w:r>
                    <w:rPr>
                      <w:sz w:val="15"/>
                      <w:szCs w:val="15"/>
                    </w:rPr>
                    <w:t>06</w:t>
                  </w:r>
                  <w:r w:rsidRPr="006D4603">
                    <w:rPr>
                      <w:sz w:val="15"/>
                      <w:szCs w:val="15"/>
                    </w:rPr>
                    <w:t>/21e</w:t>
                  </w:r>
                </w:p>
              </w:tc>
              <w:tc>
                <w:tcPr>
                  <w:tcW w:w="750" w:type="pct"/>
                  <w:tcBorders>
                    <w:top w:val="single" w:sz="4" w:space="0" w:color="A6A6A6" w:themeColor="background1" w:themeShade="A6"/>
                    <w:left w:val="nil"/>
                    <w:bottom w:val="single" w:sz="12" w:space="0" w:color="FF0000"/>
                    <w:right w:val="nil"/>
                  </w:tcBorders>
                  <w:tcMar>
                    <w:top w:w="34" w:type="dxa"/>
                    <w:left w:w="57" w:type="dxa"/>
                    <w:bottom w:w="34" w:type="dxa"/>
                    <w:right w:w="57" w:type="dxa"/>
                  </w:tcMar>
                </w:tcPr>
                <w:p w14:paraId="04513897" w14:textId="44851505" w:rsidR="00855717" w:rsidRPr="006D4603" w:rsidRDefault="00855717" w:rsidP="004B7A0B">
                  <w:pPr>
                    <w:pStyle w:val="TableTextLeft"/>
                    <w:framePr w:hSpace="181" w:wrap="around" w:hAnchor="text" w:yAlign="bottom"/>
                    <w:jc w:val="right"/>
                    <w:rPr>
                      <w:sz w:val="15"/>
                      <w:szCs w:val="15"/>
                    </w:rPr>
                  </w:pPr>
                  <w:r w:rsidRPr="002F7C22">
                    <w:t>32.1</w:t>
                  </w:r>
                </w:p>
              </w:tc>
              <w:tc>
                <w:tcPr>
                  <w:tcW w:w="883" w:type="pct"/>
                  <w:tcBorders>
                    <w:top w:val="single" w:sz="4" w:space="0" w:color="A6A6A6" w:themeColor="background1" w:themeShade="A6"/>
                    <w:left w:val="nil"/>
                    <w:bottom w:val="single" w:sz="12" w:space="0" w:color="FF0000"/>
                    <w:right w:val="nil"/>
                  </w:tcBorders>
                  <w:tcMar>
                    <w:top w:w="34" w:type="dxa"/>
                    <w:left w:w="57" w:type="dxa"/>
                    <w:bottom w:w="34" w:type="dxa"/>
                    <w:right w:w="57" w:type="dxa"/>
                  </w:tcMar>
                </w:tcPr>
                <w:p w14:paraId="3AF4A956" w14:textId="2D0182BD" w:rsidR="00855717" w:rsidRPr="006D4603" w:rsidRDefault="00855717" w:rsidP="004B7A0B">
                  <w:pPr>
                    <w:pStyle w:val="TableTextLeft"/>
                    <w:framePr w:hSpace="181" w:wrap="around" w:hAnchor="text" w:yAlign="bottom"/>
                    <w:jc w:val="right"/>
                    <w:rPr>
                      <w:sz w:val="15"/>
                      <w:szCs w:val="15"/>
                    </w:rPr>
                  </w:pPr>
                  <w:r w:rsidRPr="002F7C22">
                    <w:t>3.2</w:t>
                  </w:r>
                </w:p>
              </w:tc>
              <w:tc>
                <w:tcPr>
                  <w:tcW w:w="815" w:type="pct"/>
                  <w:tcBorders>
                    <w:top w:val="single" w:sz="4" w:space="0" w:color="A6A6A6" w:themeColor="background1" w:themeShade="A6"/>
                    <w:left w:val="nil"/>
                    <w:bottom w:val="single" w:sz="12" w:space="0" w:color="FF0000"/>
                    <w:right w:val="nil"/>
                  </w:tcBorders>
                  <w:tcMar>
                    <w:top w:w="34" w:type="dxa"/>
                    <w:left w:w="57" w:type="dxa"/>
                    <w:bottom w:w="34" w:type="dxa"/>
                    <w:right w:w="57" w:type="dxa"/>
                  </w:tcMar>
                </w:tcPr>
                <w:p w14:paraId="57110FB9" w14:textId="033F76C9" w:rsidR="00855717" w:rsidRPr="006D4603" w:rsidRDefault="00855717" w:rsidP="004B7A0B">
                  <w:pPr>
                    <w:pStyle w:val="TableTextLeft"/>
                    <w:framePr w:hSpace="181" w:wrap="around" w:hAnchor="text" w:yAlign="bottom"/>
                    <w:jc w:val="right"/>
                    <w:rPr>
                      <w:sz w:val="15"/>
                      <w:szCs w:val="15"/>
                    </w:rPr>
                  </w:pPr>
                  <w:r w:rsidRPr="002F7C22">
                    <w:t>0.9</w:t>
                  </w:r>
                </w:p>
              </w:tc>
              <w:tc>
                <w:tcPr>
                  <w:tcW w:w="679" w:type="pct"/>
                  <w:tcBorders>
                    <w:top w:val="single" w:sz="4" w:space="0" w:color="A6A6A6" w:themeColor="background1" w:themeShade="A6"/>
                    <w:left w:val="nil"/>
                    <w:bottom w:val="single" w:sz="12" w:space="0" w:color="FF0000"/>
                    <w:right w:val="nil"/>
                  </w:tcBorders>
                  <w:tcMar>
                    <w:top w:w="34" w:type="dxa"/>
                    <w:left w:w="57" w:type="dxa"/>
                    <w:bottom w:w="34" w:type="dxa"/>
                    <w:right w:w="57" w:type="dxa"/>
                  </w:tcMar>
                </w:tcPr>
                <w:p w14:paraId="449510FC" w14:textId="442DDC6F" w:rsidR="00855717" w:rsidRPr="006D4603" w:rsidRDefault="00855717" w:rsidP="004B7A0B">
                  <w:pPr>
                    <w:pStyle w:val="TableTextLeft"/>
                    <w:framePr w:hSpace="181" w:wrap="around" w:hAnchor="text" w:yAlign="bottom"/>
                    <w:jc w:val="right"/>
                    <w:rPr>
                      <w:sz w:val="15"/>
                      <w:szCs w:val="15"/>
                    </w:rPr>
                  </w:pPr>
                  <w:r w:rsidRPr="002F7C22">
                    <w:t>0.16</w:t>
                  </w:r>
                </w:p>
              </w:tc>
              <w:tc>
                <w:tcPr>
                  <w:tcW w:w="475" w:type="pct"/>
                  <w:tcBorders>
                    <w:top w:val="single" w:sz="4" w:space="0" w:color="A6A6A6" w:themeColor="background1" w:themeShade="A6"/>
                    <w:left w:val="nil"/>
                    <w:bottom w:val="single" w:sz="12" w:space="0" w:color="FF0000"/>
                    <w:right w:val="nil"/>
                  </w:tcBorders>
                  <w:tcMar>
                    <w:top w:w="34" w:type="dxa"/>
                    <w:left w:w="57" w:type="dxa"/>
                    <w:bottom w:w="34" w:type="dxa"/>
                    <w:right w:w="57" w:type="dxa"/>
                  </w:tcMar>
                </w:tcPr>
                <w:p w14:paraId="25B97927" w14:textId="5CF2412E" w:rsidR="00855717" w:rsidRPr="006D4603" w:rsidRDefault="00855717" w:rsidP="004B7A0B">
                  <w:pPr>
                    <w:pStyle w:val="TableTextLeft"/>
                    <w:framePr w:hSpace="181" w:wrap="around" w:hAnchor="text" w:yAlign="bottom"/>
                    <w:jc w:val="right"/>
                    <w:rPr>
                      <w:sz w:val="15"/>
                      <w:szCs w:val="15"/>
                    </w:rPr>
                  </w:pPr>
                  <w:r w:rsidRPr="002F7C22">
                    <w:t xml:space="preserve"> 0.62 </w:t>
                  </w:r>
                </w:p>
              </w:tc>
              <w:tc>
                <w:tcPr>
                  <w:tcW w:w="681" w:type="pct"/>
                  <w:tcBorders>
                    <w:top w:val="single" w:sz="4" w:space="0" w:color="A6A6A6" w:themeColor="background1" w:themeShade="A6"/>
                    <w:left w:val="nil"/>
                    <w:bottom w:val="single" w:sz="12" w:space="0" w:color="FF0000"/>
                    <w:right w:val="nil"/>
                  </w:tcBorders>
                </w:tcPr>
                <w:p w14:paraId="57698C55" w14:textId="31F92A4D" w:rsidR="00855717" w:rsidRPr="006D4603" w:rsidRDefault="00855717" w:rsidP="004B7A0B">
                  <w:pPr>
                    <w:pStyle w:val="TableTextLeft"/>
                    <w:framePr w:hSpace="181" w:wrap="around" w:hAnchor="text" w:yAlign="bottom"/>
                    <w:jc w:val="right"/>
                    <w:rPr>
                      <w:sz w:val="15"/>
                      <w:szCs w:val="15"/>
                    </w:rPr>
                  </w:pPr>
                  <w:r w:rsidRPr="002F7C22">
                    <w:t xml:space="preserve"> 6.29 </w:t>
                  </w:r>
                </w:p>
              </w:tc>
            </w:tr>
          </w:tbl>
          <w:p w14:paraId="1447EAA0" w14:textId="1B36B77A" w:rsidR="0064502D" w:rsidRPr="00452137" w:rsidRDefault="0064502D" w:rsidP="006C53B4">
            <w:pPr>
              <w:pStyle w:val="Source"/>
              <w:pBdr>
                <w:top w:val="none" w:sz="0" w:space="0" w:color="auto"/>
                <w:left w:val="none" w:sz="0" w:space="0" w:color="auto"/>
                <w:bottom w:val="none" w:sz="0" w:space="0" w:color="auto"/>
                <w:between w:val="single" w:sz="18" w:space="1" w:color="FF0000"/>
              </w:pBdr>
              <w:tabs>
                <w:tab w:val="left" w:pos="5115"/>
              </w:tabs>
              <w:spacing w:after="360"/>
              <w:ind w:left="58" w:right="29"/>
              <w:rPr>
                <w:i/>
              </w:rPr>
            </w:pPr>
            <w:r w:rsidRPr="002936AB">
              <w:rPr>
                <w:sz w:val="14"/>
                <w:szCs w:val="14"/>
              </w:rPr>
              <w:t>Source:</w:t>
            </w:r>
            <w:r w:rsidRPr="00452137">
              <w:rPr>
                <w:i/>
              </w:rPr>
              <w:t xml:space="preserve"> </w:t>
            </w:r>
            <w:r>
              <w:rPr>
                <w:sz w:val="14"/>
                <w:szCs w:val="14"/>
              </w:rPr>
              <w:t>Company</w:t>
            </w:r>
            <w:r w:rsidRPr="002936AB">
              <w:rPr>
                <w:sz w:val="14"/>
                <w:szCs w:val="14"/>
              </w:rPr>
              <w:t xml:space="preserve"> data, RaaS Advisory Estimates for FY1</w:t>
            </w:r>
            <w:r>
              <w:rPr>
                <w:sz w:val="14"/>
                <w:szCs w:val="14"/>
              </w:rPr>
              <w:t>9</w:t>
            </w:r>
            <w:r w:rsidRPr="002936AB">
              <w:rPr>
                <w:sz w:val="14"/>
                <w:szCs w:val="14"/>
              </w:rPr>
              <w:t>e</w:t>
            </w:r>
            <w:r>
              <w:rPr>
                <w:sz w:val="14"/>
                <w:szCs w:val="14"/>
              </w:rPr>
              <w:t xml:space="preserve">, </w:t>
            </w:r>
            <w:r w:rsidRPr="002936AB">
              <w:rPr>
                <w:sz w:val="14"/>
                <w:szCs w:val="14"/>
              </w:rPr>
              <w:t>FY</w:t>
            </w:r>
            <w:r>
              <w:rPr>
                <w:sz w:val="14"/>
                <w:szCs w:val="14"/>
              </w:rPr>
              <w:t>20</w:t>
            </w:r>
            <w:r w:rsidRPr="002936AB">
              <w:rPr>
                <w:sz w:val="14"/>
                <w:szCs w:val="14"/>
              </w:rPr>
              <w:t>e</w:t>
            </w:r>
            <w:r>
              <w:rPr>
                <w:sz w:val="14"/>
                <w:szCs w:val="14"/>
              </w:rPr>
              <w:t>, FY21e</w:t>
            </w:r>
            <w:r w:rsidRPr="002936AB">
              <w:rPr>
                <w:sz w:val="14"/>
                <w:szCs w:val="14"/>
              </w:rPr>
              <w:t xml:space="preserve"> </w:t>
            </w:r>
          </w:p>
        </w:tc>
      </w:tr>
    </w:tbl>
    <w:p w14:paraId="3B535730" w14:textId="77777777" w:rsidR="00FA0FCC" w:rsidRPr="005B3AEA" w:rsidRDefault="00FA0FCC" w:rsidP="005B3AEA">
      <w:pPr>
        <w:spacing w:after="0" w:line="240" w:lineRule="auto"/>
        <w:rPr>
          <w:sz w:val="18"/>
          <w:szCs w:val="18"/>
          <w:lang w:val="en-GB"/>
        </w:rPr>
      </w:pPr>
    </w:p>
    <w:p w14:paraId="60B3E326" w14:textId="77777777" w:rsidR="006A19EB" w:rsidRDefault="006A19EB" w:rsidP="004124A6">
      <w:pPr>
        <w:jc w:val="center"/>
        <w:rPr>
          <w:sz w:val="44"/>
          <w:szCs w:val="44"/>
        </w:rPr>
      </w:pPr>
    </w:p>
    <w:p w14:paraId="17F9AC62" w14:textId="7F75AE7D" w:rsidR="004124A6" w:rsidRPr="00436986" w:rsidRDefault="004124A6" w:rsidP="004124A6">
      <w:pPr>
        <w:jc w:val="center"/>
        <w:rPr>
          <w:sz w:val="44"/>
          <w:szCs w:val="44"/>
        </w:rPr>
      </w:pPr>
      <w:r w:rsidRPr="00436986">
        <w:rPr>
          <w:sz w:val="44"/>
          <w:szCs w:val="44"/>
        </w:rPr>
        <w:t>FINANCIAL SERVICES GUIDE</w:t>
      </w:r>
    </w:p>
    <w:p w14:paraId="6056F328" w14:textId="77777777" w:rsidR="004124A6" w:rsidRDefault="004124A6" w:rsidP="004124A6">
      <w:pPr>
        <w:spacing w:after="21"/>
        <w:jc w:val="center"/>
      </w:pPr>
    </w:p>
    <w:p w14:paraId="02BB3148" w14:textId="77777777" w:rsidR="004124A6" w:rsidRDefault="004124A6" w:rsidP="004124A6">
      <w:pPr>
        <w:spacing w:after="21"/>
        <w:jc w:val="center"/>
      </w:pPr>
    </w:p>
    <w:p w14:paraId="625E5246" w14:textId="77777777" w:rsidR="004124A6" w:rsidRDefault="004124A6" w:rsidP="004124A6">
      <w:pPr>
        <w:spacing w:after="21"/>
        <w:jc w:val="center"/>
      </w:pPr>
    </w:p>
    <w:p w14:paraId="57872D55" w14:textId="77777777" w:rsidR="004124A6" w:rsidRDefault="004124A6" w:rsidP="004124A6">
      <w:pPr>
        <w:spacing w:after="21"/>
        <w:ind w:left="-5"/>
        <w:jc w:val="center"/>
        <w:rPr>
          <w:sz w:val="32"/>
          <w:szCs w:val="32"/>
        </w:rPr>
      </w:pPr>
      <w:r>
        <w:rPr>
          <w:sz w:val="32"/>
          <w:szCs w:val="32"/>
        </w:rPr>
        <w:t>RaaS Advisory Pty Ltd</w:t>
      </w:r>
    </w:p>
    <w:p w14:paraId="77E307EB" w14:textId="77777777" w:rsidR="004124A6" w:rsidRDefault="004124A6" w:rsidP="004124A6">
      <w:pPr>
        <w:tabs>
          <w:tab w:val="center" w:pos="4635"/>
          <w:tab w:val="left" w:pos="8348"/>
        </w:tabs>
        <w:spacing w:after="21"/>
        <w:ind w:left="-5"/>
        <w:jc w:val="center"/>
        <w:rPr>
          <w:sz w:val="32"/>
          <w:szCs w:val="32"/>
        </w:rPr>
      </w:pPr>
      <w:r>
        <w:rPr>
          <w:sz w:val="32"/>
          <w:szCs w:val="32"/>
        </w:rPr>
        <w:t>ABN 99 614 783 363</w:t>
      </w:r>
    </w:p>
    <w:p w14:paraId="5BB3ADBE" w14:textId="77777777" w:rsidR="004124A6" w:rsidRDefault="004124A6" w:rsidP="004124A6">
      <w:pPr>
        <w:spacing w:after="21"/>
        <w:ind w:left="-5"/>
        <w:jc w:val="center"/>
        <w:rPr>
          <w:sz w:val="32"/>
          <w:szCs w:val="32"/>
        </w:rPr>
      </w:pPr>
      <w:r>
        <w:rPr>
          <w:sz w:val="32"/>
          <w:szCs w:val="32"/>
        </w:rPr>
        <w:t>Corporate Authorised Representative, number 1248415</w:t>
      </w:r>
    </w:p>
    <w:p w14:paraId="171D371B" w14:textId="77777777" w:rsidR="004124A6" w:rsidRDefault="004124A6" w:rsidP="004124A6">
      <w:pPr>
        <w:spacing w:after="21"/>
        <w:ind w:left="-5"/>
        <w:jc w:val="center"/>
        <w:rPr>
          <w:sz w:val="28"/>
          <w:szCs w:val="28"/>
        </w:rPr>
      </w:pPr>
    </w:p>
    <w:p w14:paraId="56D7BB8F" w14:textId="77777777" w:rsidR="004124A6" w:rsidRDefault="004124A6" w:rsidP="004124A6">
      <w:pPr>
        <w:spacing w:after="21"/>
        <w:ind w:left="-5"/>
        <w:jc w:val="center"/>
        <w:rPr>
          <w:sz w:val="28"/>
          <w:szCs w:val="28"/>
        </w:rPr>
      </w:pPr>
      <w:r>
        <w:rPr>
          <w:sz w:val="28"/>
          <w:szCs w:val="28"/>
        </w:rPr>
        <w:t>of</w:t>
      </w:r>
    </w:p>
    <w:p w14:paraId="2D4331FF" w14:textId="77777777" w:rsidR="004124A6" w:rsidRDefault="004124A6" w:rsidP="004124A6">
      <w:pPr>
        <w:spacing w:after="21"/>
        <w:ind w:left="-5"/>
        <w:jc w:val="center"/>
        <w:rPr>
          <w:sz w:val="32"/>
          <w:szCs w:val="32"/>
        </w:rPr>
      </w:pPr>
    </w:p>
    <w:p w14:paraId="05E1BD56" w14:textId="77777777" w:rsidR="004124A6" w:rsidRDefault="004124A6" w:rsidP="004124A6">
      <w:pPr>
        <w:spacing w:after="21"/>
        <w:ind w:left="-5"/>
        <w:jc w:val="center"/>
        <w:rPr>
          <w:sz w:val="32"/>
          <w:szCs w:val="32"/>
        </w:rPr>
      </w:pPr>
      <w:r>
        <w:rPr>
          <w:sz w:val="32"/>
          <w:szCs w:val="32"/>
        </w:rPr>
        <w:t>BR SECURITIES AUSTRALIA PTY LTD</w:t>
      </w:r>
    </w:p>
    <w:p w14:paraId="40293A79" w14:textId="77777777" w:rsidR="004124A6" w:rsidRDefault="004124A6" w:rsidP="004124A6">
      <w:pPr>
        <w:tabs>
          <w:tab w:val="center" w:pos="1502"/>
        </w:tabs>
        <w:spacing w:after="28"/>
        <w:ind w:left="-15"/>
        <w:jc w:val="center"/>
        <w:rPr>
          <w:sz w:val="32"/>
          <w:szCs w:val="32"/>
        </w:rPr>
      </w:pPr>
      <w:r>
        <w:rPr>
          <w:sz w:val="32"/>
          <w:szCs w:val="32"/>
        </w:rPr>
        <w:t>ABN</w:t>
      </w:r>
      <w:r>
        <w:rPr>
          <w:sz w:val="32"/>
          <w:szCs w:val="32"/>
        </w:rPr>
        <w:tab/>
        <w:t xml:space="preserve"> 92 168 734 530</w:t>
      </w:r>
    </w:p>
    <w:p w14:paraId="08B51092" w14:textId="77777777" w:rsidR="004124A6" w:rsidRDefault="004124A6" w:rsidP="004124A6">
      <w:pPr>
        <w:spacing w:after="21"/>
        <w:ind w:left="-5"/>
        <w:jc w:val="center"/>
        <w:rPr>
          <w:sz w:val="32"/>
          <w:szCs w:val="32"/>
        </w:rPr>
      </w:pPr>
      <w:r>
        <w:rPr>
          <w:sz w:val="32"/>
          <w:szCs w:val="32"/>
        </w:rPr>
        <w:t>AFSL 456663</w:t>
      </w:r>
    </w:p>
    <w:p w14:paraId="25497800" w14:textId="77777777" w:rsidR="004124A6" w:rsidRDefault="004124A6" w:rsidP="004124A6">
      <w:pPr>
        <w:spacing w:after="21"/>
        <w:jc w:val="center"/>
      </w:pPr>
    </w:p>
    <w:p w14:paraId="0E8D4C01" w14:textId="77777777" w:rsidR="004124A6" w:rsidRDefault="004124A6" w:rsidP="004124A6">
      <w:pPr>
        <w:spacing w:after="21"/>
        <w:ind w:left="-5"/>
        <w:jc w:val="center"/>
      </w:pPr>
    </w:p>
    <w:p w14:paraId="5DA97816" w14:textId="77777777" w:rsidR="004124A6" w:rsidRDefault="004124A6" w:rsidP="004124A6">
      <w:pPr>
        <w:jc w:val="center"/>
        <w:rPr>
          <w:sz w:val="32"/>
          <w:szCs w:val="32"/>
        </w:rPr>
      </w:pPr>
    </w:p>
    <w:p w14:paraId="4970C6E6" w14:textId="77777777" w:rsidR="004124A6" w:rsidRDefault="004124A6" w:rsidP="004124A6">
      <w:pPr>
        <w:jc w:val="center"/>
        <w:rPr>
          <w:sz w:val="32"/>
          <w:szCs w:val="32"/>
        </w:rPr>
      </w:pPr>
    </w:p>
    <w:p w14:paraId="068B3668" w14:textId="77777777" w:rsidR="004124A6" w:rsidRDefault="004124A6" w:rsidP="004124A6">
      <w:pPr>
        <w:jc w:val="center"/>
        <w:rPr>
          <w:sz w:val="32"/>
          <w:szCs w:val="32"/>
        </w:rPr>
      </w:pPr>
    </w:p>
    <w:p w14:paraId="25B2E6E2" w14:textId="77777777" w:rsidR="004124A6" w:rsidRDefault="004124A6" w:rsidP="004124A6">
      <w:pPr>
        <w:jc w:val="center"/>
        <w:rPr>
          <w:sz w:val="32"/>
          <w:szCs w:val="32"/>
        </w:rPr>
      </w:pPr>
    </w:p>
    <w:p w14:paraId="5B50414B" w14:textId="77777777" w:rsidR="004124A6" w:rsidRDefault="004124A6" w:rsidP="004124A6">
      <w:pPr>
        <w:jc w:val="center"/>
        <w:rPr>
          <w:sz w:val="32"/>
          <w:szCs w:val="32"/>
        </w:rPr>
      </w:pPr>
    </w:p>
    <w:p w14:paraId="30E5C83E" w14:textId="77777777" w:rsidR="004124A6" w:rsidRDefault="004124A6" w:rsidP="004124A6">
      <w:pPr>
        <w:jc w:val="center"/>
        <w:rPr>
          <w:b/>
        </w:rPr>
      </w:pPr>
      <w:r>
        <w:rPr>
          <w:sz w:val="32"/>
          <w:szCs w:val="32"/>
        </w:rPr>
        <w:t>Effective Date:  26</w:t>
      </w:r>
      <w:r w:rsidRPr="00471E70">
        <w:rPr>
          <w:sz w:val="32"/>
          <w:szCs w:val="32"/>
          <w:vertAlign w:val="superscript"/>
        </w:rPr>
        <w:t>th</w:t>
      </w:r>
      <w:r>
        <w:rPr>
          <w:sz w:val="32"/>
          <w:szCs w:val="32"/>
        </w:rPr>
        <w:t xml:space="preserve"> November 2018</w:t>
      </w:r>
      <w:r>
        <w:rPr>
          <w:b/>
        </w:rPr>
        <w:br w:type="page"/>
      </w:r>
    </w:p>
    <w:p w14:paraId="7A3FBEDF" w14:textId="77777777" w:rsidR="004124A6" w:rsidRPr="004124A6" w:rsidRDefault="004124A6" w:rsidP="004124A6">
      <w:pPr>
        <w:spacing w:after="0" w:line="240" w:lineRule="auto"/>
        <w:ind w:left="-6" w:right="3799"/>
        <w:rPr>
          <w:b/>
          <w:sz w:val="16"/>
          <w:szCs w:val="16"/>
        </w:rPr>
      </w:pPr>
      <w:r w:rsidRPr="004124A6">
        <w:rPr>
          <w:b/>
          <w:color w:val="FF0000"/>
          <w:sz w:val="16"/>
          <w:szCs w:val="16"/>
        </w:rPr>
        <w:lastRenderedPageBreak/>
        <w:t>About Us</w:t>
      </w:r>
      <w:r w:rsidRPr="004124A6">
        <w:rPr>
          <w:b/>
          <w:color w:val="1155CC"/>
          <w:sz w:val="16"/>
          <w:szCs w:val="16"/>
        </w:rPr>
        <w:t xml:space="preserve"> </w:t>
      </w:r>
    </w:p>
    <w:p w14:paraId="7A8A74BB" w14:textId="77777777" w:rsidR="004124A6" w:rsidRPr="004124A6" w:rsidRDefault="004124A6" w:rsidP="004124A6">
      <w:pPr>
        <w:spacing w:line="240" w:lineRule="auto"/>
        <w:ind w:left="-5"/>
        <w:rPr>
          <w:sz w:val="16"/>
          <w:szCs w:val="16"/>
        </w:rPr>
      </w:pPr>
      <w:r w:rsidRPr="004124A6">
        <w:rPr>
          <w:sz w:val="16"/>
          <w:szCs w:val="16"/>
        </w:rPr>
        <w:t xml:space="preserve">BR Securities Australia Pty Ltd (BR) is the holder of Australian Financial Services License (“AFSL”) number 456663. RaaS Advisory Pty Ltd (RaaS) is an Authorised Representative (number 1248415) of BR. </w:t>
      </w:r>
    </w:p>
    <w:p w14:paraId="2CAD36BA" w14:textId="77777777" w:rsidR="004124A6" w:rsidRPr="004124A6" w:rsidRDefault="004124A6" w:rsidP="004124A6">
      <w:pPr>
        <w:spacing w:line="240" w:lineRule="auto"/>
        <w:rPr>
          <w:sz w:val="16"/>
          <w:szCs w:val="16"/>
        </w:rPr>
      </w:pPr>
      <w:r w:rsidRPr="004124A6">
        <w:rPr>
          <w:sz w:val="16"/>
          <w:szCs w:val="16"/>
        </w:rPr>
        <w:t xml:space="preserve">This Financial Service Guide (FSG) is designed to assist you in deciding whether to use RaaS’s services and includes such things as </w:t>
      </w:r>
    </w:p>
    <w:p w14:paraId="0C193CBD"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 xml:space="preserve">who we </w:t>
      </w:r>
      <w:proofErr w:type="gramStart"/>
      <w:r w:rsidRPr="004124A6">
        <w:rPr>
          <w:sz w:val="16"/>
          <w:szCs w:val="16"/>
        </w:rPr>
        <w:t>are</w:t>
      </w:r>
      <w:proofErr w:type="gramEnd"/>
    </w:p>
    <w:p w14:paraId="3F3BD6DB"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our services</w:t>
      </w:r>
    </w:p>
    <w:p w14:paraId="75AE723C"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how we transact with you</w:t>
      </w:r>
    </w:p>
    <w:p w14:paraId="40617077"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how we are paid, and</w:t>
      </w:r>
    </w:p>
    <w:p w14:paraId="75246B0E" w14:textId="77777777" w:rsidR="004124A6" w:rsidRPr="004124A6" w:rsidRDefault="004124A6" w:rsidP="004124A6">
      <w:pPr>
        <w:pStyle w:val="ListParagraph"/>
        <w:numPr>
          <w:ilvl w:val="0"/>
          <w:numId w:val="15"/>
        </w:numPr>
        <w:spacing w:before="0" w:after="120" w:line="240" w:lineRule="auto"/>
        <w:ind w:left="720"/>
        <w:rPr>
          <w:sz w:val="16"/>
          <w:szCs w:val="16"/>
        </w:rPr>
      </w:pPr>
      <w:r w:rsidRPr="004124A6">
        <w:rPr>
          <w:sz w:val="16"/>
          <w:szCs w:val="16"/>
        </w:rPr>
        <w:t>complaint processes</w:t>
      </w:r>
    </w:p>
    <w:p w14:paraId="112BF286" w14:textId="77777777" w:rsidR="004124A6" w:rsidRPr="004124A6" w:rsidRDefault="004124A6" w:rsidP="004124A6">
      <w:pPr>
        <w:spacing w:line="240" w:lineRule="auto"/>
        <w:rPr>
          <w:sz w:val="16"/>
          <w:szCs w:val="16"/>
        </w:rPr>
      </w:pPr>
      <w:r w:rsidRPr="004124A6">
        <w:rPr>
          <w:sz w:val="16"/>
          <w:szCs w:val="16"/>
        </w:rPr>
        <w:t>Contact Details, BR and RaaS</w:t>
      </w:r>
    </w:p>
    <w:p w14:paraId="5E03AAA9" w14:textId="77777777" w:rsidR="004124A6" w:rsidRPr="004124A6" w:rsidRDefault="004124A6" w:rsidP="004124A6">
      <w:pPr>
        <w:spacing w:line="240" w:lineRule="auto"/>
        <w:ind w:left="-5"/>
        <w:rPr>
          <w:sz w:val="16"/>
          <w:szCs w:val="16"/>
        </w:rPr>
      </w:pPr>
      <w:r w:rsidRPr="004124A6">
        <w:rPr>
          <w:sz w:val="16"/>
          <w:szCs w:val="16"/>
        </w:rPr>
        <w:t xml:space="preserve">BR Head Office: Level 14, 344 Queen Street, Brisbane, QLD, 4000 </w:t>
      </w:r>
    </w:p>
    <w:p w14:paraId="4DB70723"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RaaS. 20 Halls Road Arcadia, NSW 2159</w:t>
      </w:r>
    </w:p>
    <w:p w14:paraId="01999938"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P: +61 414 354712</w:t>
      </w:r>
    </w:p>
    <w:p w14:paraId="7C97A21A" w14:textId="77777777" w:rsidR="004124A6" w:rsidRPr="004124A6" w:rsidRDefault="004124A6" w:rsidP="004124A6">
      <w:pPr>
        <w:tabs>
          <w:tab w:val="center" w:pos="5163"/>
          <w:tab w:val="center" w:pos="9360"/>
        </w:tabs>
        <w:spacing w:after="120" w:line="240" w:lineRule="auto"/>
        <w:ind w:left="-15"/>
        <w:rPr>
          <w:sz w:val="16"/>
          <w:szCs w:val="16"/>
        </w:rPr>
      </w:pPr>
      <w:r w:rsidRPr="004124A6">
        <w:rPr>
          <w:sz w:val="16"/>
          <w:szCs w:val="16"/>
        </w:rPr>
        <w:t>E: finola.burke@raasgroup.com</w:t>
      </w:r>
    </w:p>
    <w:p w14:paraId="6032B874" w14:textId="77777777" w:rsidR="004124A6" w:rsidRPr="004124A6" w:rsidRDefault="004124A6" w:rsidP="004124A6">
      <w:pPr>
        <w:tabs>
          <w:tab w:val="center" w:pos="5163"/>
          <w:tab w:val="center" w:pos="9360"/>
        </w:tabs>
        <w:spacing w:after="80" w:line="240" w:lineRule="auto"/>
        <w:ind w:left="-15"/>
        <w:rPr>
          <w:sz w:val="16"/>
          <w:szCs w:val="16"/>
        </w:rPr>
      </w:pPr>
      <w:r w:rsidRPr="004124A6">
        <w:rPr>
          <w:sz w:val="16"/>
          <w:szCs w:val="16"/>
        </w:rPr>
        <w:t>RaaS is the entity providing the authorised AFSL services to you as a retail or wholesale client.</w:t>
      </w:r>
      <w:r w:rsidRPr="004124A6">
        <w:rPr>
          <w:noProof/>
          <w:sz w:val="16"/>
          <w:szCs w:val="16"/>
        </w:rPr>
        <w:t xml:space="preserve"> </w:t>
      </w:r>
    </w:p>
    <w:p w14:paraId="14DB2D02" w14:textId="77777777" w:rsidR="004124A6" w:rsidRPr="004124A6" w:rsidRDefault="004124A6" w:rsidP="004124A6">
      <w:pPr>
        <w:tabs>
          <w:tab w:val="left" w:pos="0"/>
        </w:tabs>
        <w:spacing w:line="240" w:lineRule="auto"/>
        <w:ind w:right="2529"/>
        <w:rPr>
          <w:sz w:val="16"/>
          <w:szCs w:val="16"/>
        </w:rPr>
      </w:pPr>
      <w:r w:rsidRPr="004124A6">
        <w:rPr>
          <w:b/>
          <w:color w:val="FF0000"/>
          <w:sz w:val="16"/>
          <w:szCs w:val="16"/>
        </w:rPr>
        <w:t>What Financial Services are we authorised to provide?</w:t>
      </w:r>
      <w:r w:rsidRPr="004124A6">
        <w:rPr>
          <w:color w:val="1155CC"/>
          <w:sz w:val="16"/>
          <w:szCs w:val="16"/>
        </w:rPr>
        <w:t xml:space="preserve"> </w:t>
      </w:r>
      <w:r w:rsidRPr="004124A6">
        <w:rPr>
          <w:sz w:val="16"/>
          <w:szCs w:val="16"/>
        </w:rPr>
        <w:t xml:space="preserve">RaaS </w:t>
      </w:r>
      <w:proofErr w:type="gramStart"/>
      <w:r w:rsidRPr="004124A6">
        <w:rPr>
          <w:sz w:val="16"/>
          <w:szCs w:val="16"/>
        </w:rPr>
        <w:t>is  authorised</w:t>
      </w:r>
      <w:proofErr w:type="gramEnd"/>
      <w:r w:rsidRPr="004124A6">
        <w:rPr>
          <w:sz w:val="16"/>
          <w:szCs w:val="16"/>
        </w:rPr>
        <w:t xml:space="preserve"> to  </w:t>
      </w:r>
    </w:p>
    <w:p w14:paraId="375A6AA9" w14:textId="77777777" w:rsidR="004124A6" w:rsidRPr="004124A6" w:rsidRDefault="004124A6" w:rsidP="004124A6">
      <w:pPr>
        <w:pStyle w:val="ListParagraph"/>
        <w:numPr>
          <w:ilvl w:val="0"/>
          <w:numId w:val="15"/>
        </w:numPr>
        <w:tabs>
          <w:tab w:val="center" w:pos="360"/>
          <w:tab w:val="center" w:pos="4717"/>
        </w:tabs>
        <w:spacing w:before="0" w:line="240" w:lineRule="auto"/>
        <w:ind w:left="0" w:firstLine="0"/>
        <w:rPr>
          <w:sz w:val="16"/>
          <w:szCs w:val="16"/>
        </w:rPr>
      </w:pPr>
      <w:r w:rsidRPr="004124A6">
        <w:rPr>
          <w:sz w:val="16"/>
          <w:szCs w:val="16"/>
        </w:rPr>
        <w:t xml:space="preserve">provide general advice to retail and wholesale clients in relation to  </w:t>
      </w:r>
    </w:p>
    <w:p w14:paraId="22BAB36F" w14:textId="77777777" w:rsidR="004124A6" w:rsidRPr="004124A6" w:rsidRDefault="004124A6" w:rsidP="004124A6">
      <w:pPr>
        <w:pStyle w:val="ListParagraph"/>
        <w:numPr>
          <w:ilvl w:val="0"/>
          <w:numId w:val="15"/>
        </w:numPr>
        <w:spacing w:before="0" w:line="240" w:lineRule="auto"/>
        <w:ind w:left="1710"/>
        <w:rPr>
          <w:sz w:val="16"/>
          <w:szCs w:val="16"/>
        </w:rPr>
      </w:pPr>
      <w:r w:rsidRPr="004124A6">
        <w:rPr>
          <w:sz w:val="16"/>
          <w:szCs w:val="16"/>
        </w:rPr>
        <w:t>Securities</w:t>
      </w:r>
    </w:p>
    <w:p w14:paraId="6F825B39" w14:textId="77777777" w:rsidR="004124A6" w:rsidRPr="004124A6" w:rsidRDefault="004124A6" w:rsidP="004124A6">
      <w:pPr>
        <w:pStyle w:val="ListParagraph"/>
        <w:numPr>
          <w:ilvl w:val="0"/>
          <w:numId w:val="16"/>
        </w:numPr>
        <w:tabs>
          <w:tab w:val="center" w:pos="757"/>
          <w:tab w:val="center" w:pos="4292"/>
        </w:tabs>
        <w:spacing w:before="0" w:line="240" w:lineRule="auto"/>
        <w:rPr>
          <w:color w:val="auto"/>
          <w:sz w:val="16"/>
          <w:szCs w:val="16"/>
        </w:rPr>
      </w:pPr>
      <w:r w:rsidRPr="004124A6">
        <w:rPr>
          <w:color w:val="auto"/>
          <w:sz w:val="16"/>
          <w:szCs w:val="16"/>
        </w:rPr>
        <w:t>deal on behalf of retail and wholesale clients in relation to</w:t>
      </w:r>
    </w:p>
    <w:p w14:paraId="76F298DB" w14:textId="77777777" w:rsidR="004124A6" w:rsidRPr="004124A6" w:rsidRDefault="004124A6" w:rsidP="004124A6">
      <w:pPr>
        <w:pStyle w:val="ListParagraph"/>
        <w:numPr>
          <w:ilvl w:val="0"/>
          <w:numId w:val="16"/>
        </w:numPr>
        <w:tabs>
          <w:tab w:val="center" w:pos="4292"/>
        </w:tabs>
        <w:spacing w:before="0" w:line="240" w:lineRule="auto"/>
        <w:ind w:left="1710"/>
        <w:rPr>
          <w:color w:val="auto"/>
          <w:sz w:val="16"/>
          <w:szCs w:val="16"/>
        </w:rPr>
      </w:pPr>
      <w:r w:rsidRPr="004124A6">
        <w:rPr>
          <w:color w:val="auto"/>
          <w:sz w:val="16"/>
          <w:szCs w:val="16"/>
        </w:rPr>
        <w:t>Securities</w:t>
      </w:r>
    </w:p>
    <w:p w14:paraId="53DF1333" w14:textId="77777777" w:rsidR="004124A6" w:rsidRPr="004124A6" w:rsidRDefault="004124A6" w:rsidP="004124A6">
      <w:pPr>
        <w:spacing w:line="240" w:lineRule="auto"/>
        <w:ind w:left="9" w:right="74"/>
        <w:rPr>
          <w:sz w:val="16"/>
          <w:szCs w:val="16"/>
        </w:rPr>
      </w:pPr>
      <w:r w:rsidRPr="004124A6">
        <w:rPr>
          <w:sz w:val="16"/>
          <w:szCs w:val="16"/>
        </w:rPr>
        <w:t xml:space="preserve">The distribution of this FSG by RaaS is authorized by BR. </w:t>
      </w:r>
    </w:p>
    <w:p w14:paraId="2FF07F4B"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Our general advice </w:t>
      </w:r>
      <w:proofErr w:type="gramStart"/>
      <w:r w:rsidRPr="004124A6">
        <w:rPr>
          <w:b/>
          <w:color w:val="FF0000"/>
          <w:sz w:val="16"/>
          <w:szCs w:val="16"/>
        </w:rPr>
        <w:t>service</w:t>
      </w:r>
      <w:proofErr w:type="gramEnd"/>
      <w:r w:rsidRPr="004124A6">
        <w:rPr>
          <w:b/>
          <w:color w:val="FF0000"/>
          <w:sz w:val="16"/>
          <w:szCs w:val="16"/>
        </w:rPr>
        <w:t xml:space="preserve"> </w:t>
      </w:r>
    </w:p>
    <w:p w14:paraId="38502C13" w14:textId="77777777" w:rsidR="004124A6" w:rsidRPr="004124A6" w:rsidRDefault="004124A6" w:rsidP="004124A6">
      <w:pPr>
        <w:spacing w:after="80" w:line="240" w:lineRule="auto"/>
        <w:ind w:left="-5"/>
        <w:rPr>
          <w:sz w:val="16"/>
          <w:szCs w:val="16"/>
        </w:rPr>
      </w:pPr>
      <w:r w:rsidRPr="004124A6">
        <w:rPr>
          <w:sz w:val="16"/>
          <w:szCs w:val="16"/>
        </w:rPr>
        <w:t xml:space="preserve">Please note that any advice given by RaaS is general advice, as the information or advice given will not </w:t>
      </w:r>
      <w:proofErr w:type="gramStart"/>
      <w:r w:rsidRPr="004124A6">
        <w:rPr>
          <w:sz w:val="16"/>
          <w:szCs w:val="16"/>
        </w:rPr>
        <w:t>take into account</w:t>
      </w:r>
      <w:proofErr w:type="gramEnd"/>
      <w:r w:rsidRPr="004124A6">
        <w:rPr>
          <w:sz w:val="16"/>
          <w:szCs w:val="16"/>
        </w:rPr>
        <w:t xml:space="preserve"> your particular objectives, financial situation or needs. You should, before acting on the advice, consider the appropriateness of the advice, having regard to your objectives, financial situation and needs.  If our advice relates to the acquisition, or possible acquisition, of a </w:t>
      </w:r>
      <w:proofErr w:type="gramStart"/>
      <w:r w:rsidRPr="004124A6">
        <w:rPr>
          <w:sz w:val="16"/>
          <w:szCs w:val="16"/>
        </w:rPr>
        <w:t>particular financial</w:t>
      </w:r>
      <w:proofErr w:type="gramEnd"/>
      <w:r w:rsidRPr="004124A6">
        <w:rPr>
          <w:sz w:val="16"/>
          <w:szCs w:val="16"/>
        </w:rPr>
        <w:t xml:space="preserve"> product you should read any relevant Prospectus, Product Disclosure Statement or like instrument.  As we only provide general </w:t>
      </w:r>
      <w:proofErr w:type="gramStart"/>
      <w:r w:rsidRPr="004124A6">
        <w:rPr>
          <w:sz w:val="16"/>
          <w:szCs w:val="16"/>
        </w:rPr>
        <w:t>advice</w:t>
      </w:r>
      <w:proofErr w:type="gramEnd"/>
      <w:r w:rsidRPr="004124A6">
        <w:rPr>
          <w:sz w:val="16"/>
          <w:szCs w:val="16"/>
        </w:rPr>
        <w:t xml:space="preserve"> we will not be providing a Statement of Advice.  We will provide you with recommendations on securities</w:t>
      </w:r>
    </w:p>
    <w:p w14:paraId="76B7A7D8" w14:textId="77777777" w:rsidR="004124A6" w:rsidRPr="004124A6" w:rsidRDefault="004124A6" w:rsidP="004124A6">
      <w:pPr>
        <w:spacing w:after="0" w:line="240" w:lineRule="auto"/>
        <w:ind w:left="-6" w:right="3799"/>
        <w:rPr>
          <w:b/>
          <w:sz w:val="16"/>
          <w:szCs w:val="16"/>
        </w:rPr>
      </w:pPr>
      <w:r w:rsidRPr="004124A6">
        <w:rPr>
          <w:b/>
          <w:color w:val="FF0000"/>
          <w:sz w:val="16"/>
          <w:szCs w:val="16"/>
        </w:rPr>
        <w:t>Our dealing service</w:t>
      </w:r>
      <w:r w:rsidRPr="004124A6">
        <w:rPr>
          <w:b/>
          <w:color w:val="1155CC"/>
          <w:sz w:val="16"/>
          <w:szCs w:val="16"/>
        </w:rPr>
        <w:t xml:space="preserve"> </w:t>
      </w:r>
    </w:p>
    <w:p w14:paraId="7EAF0C97" w14:textId="5CDF13EA" w:rsidR="004124A6" w:rsidRPr="004124A6" w:rsidRDefault="004124A6" w:rsidP="004124A6">
      <w:pPr>
        <w:spacing w:after="80" w:line="240" w:lineRule="auto"/>
        <w:ind w:left="9" w:right="74"/>
        <w:rPr>
          <w:sz w:val="16"/>
          <w:szCs w:val="16"/>
        </w:rPr>
      </w:pPr>
      <w:r w:rsidRPr="004124A6">
        <w:rPr>
          <w:sz w:val="16"/>
          <w:szCs w:val="16"/>
        </w:rPr>
        <w:t>RaaS can arrange for you to invest in securities issued under a prospectus by firstly sending you the offer document and then assisting you fill out the application f</w:t>
      </w:r>
      <w:r w:rsidR="00DC7CCD">
        <w:rPr>
          <w:sz w:val="16"/>
          <w:szCs w:val="16"/>
        </w:rPr>
        <w:t>or</w:t>
      </w:r>
      <w:r w:rsidRPr="004124A6">
        <w:rPr>
          <w:sz w:val="16"/>
          <w:szCs w:val="16"/>
        </w:rPr>
        <w:t xml:space="preserve">m if needed. </w:t>
      </w:r>
    </w:p>
    <w:p w14:paraId="1C82F844"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How are we paid? </w:t>
      </w:r>
    </w:p>
    <w:p w14:paraId="677B0279" w14:textId="77777777" w:rsidR="004124A6" w:rsidRPr="004124A6" w:rsidRDefault="004124A6" w:rsidP="004124A6">
      <w:pPr>
        <w:spacing w:line="240" w:lineRule="auto"/>
        <w:ind w:left="-5" w:right="15"/>
        <w:rPr>
          <w:sz w:val="16"/>
          <w:szCs w:val="16"/>
        </w:rPr>
      </w:pPr>
      <w:r w:rsidRPr="004124A6">
        <w:rPr>
          <w:sz w:val="16"/>
          <w:szCs w:val="16"/>
        </w:rPr>
        <w:t xml:space="preserve">RaaS earns fees for producing research reports. Sometimes these fees are from companies for producing research reports and/or a financial model. When the fee is derived from a company, this is clearly highlighted on the front page of the report and in the disclaimers and disclosures section of the report.  </w:t>
      </w:r>
    </w:p>
    <w:p w14:paraId="751AB784" w14:textId="77777777" w:rsidR="004124A6" w:rsidRPr="004124A6" w:rsidRDefault="004124A6" w:rsidP="004124A6">
      <w:pPr>
        <w:spacing w:after="80" w:line="240" w:lineRule="auto"/>
        <w:ind w:left="-5" w:right="15"/>
        <w:rPr>
          <w:color w:val="1155CC"/>
          <w:sz w:val="16"/>
          <w:szCs w:val="16"/>
        </w:rPr>
      </w:pPr>
      <w:r w:rsidRPr="004124A6">
        <w:rPr>
          <w:sz w:val="16"/>
          <w:szCs w:val="16"/>
        </w:rPr>
        <w:t>We may also receive a fee for our dealing service, from the company issuing the securities.</w:t>
      </w:r>
    </w:p>
    <w:p w14:paraId="1CFF41CF" w14:textId="77777777" w:rsidR="004124A6" w:rsidRPr="004124A6" w:rsidRDefault="004124A6" w:rsidP="004124A6">
      <w:pPr>
        <w:spacing w:after="0" w:line="240" w:lineRule="auto"/>
        <w:ind w:left="-6" w:right="3799"/>
        <w:rPr>
          <w:b/>
          <w:color w:val="1155CC"/>
          <w:sz w:val="16"/>
          <w:szCs w:val="16"/>
        </w:rPr>
      </w:pPr>
      <w:r w:rsidRPr="004124A6">
        <w:rPr>
          <w:b/>
          <w:color w:val="FF0000"/>
          <w:sz w:val="16"/>
          <w:szCs w:val="16"/>
        </w:rPr>
        <w:t>Associations and Relationships</w:t>
      </w:r>
      <w:r w:rsidRPr="004124A6">
        <w:rPr>
          <w:b/>
          <w:color w:val="1155CC"/>
          <w:sz w:val="16"/>
          <w:szCs w:val="16"/>
        </w:rPr>
        <w:t xml:space="preserve">  </w:t>
      </w:r>
    </w:p>
    <w:p w14:paraId="078C699C" w14:textId="77777777" w:rsidR="004124A6" w:rsidRPr="004124A6" w:rsidRDefault="004124A6" w:rsidP="004124A6">
      <w:pPr>
        <w:spacing w:after="80" w:line="240" w:lineRule="auto"/>
        <w:rPr>
          <w:sz w:val="16"/>
          <w:szCs w:val="16"/>
        </w:rPr>
      </w:pPr>
      <w:r w:rsidRPr="004124A6">
        <w:rPr>
          <w:sz w:val="16"/>
          <w:szCs w:val="16"/>
        </w:rPr>
        <w:t xml:space="preserve">BR, RaaS, its directors and related parties have no associations or relationships with any product issuers other than when advising retail clients to invest in managed funds when the managers of these funds may also be clients of BR. RaaS’s representatives may from time to time deal in or otherwise have a financial interest in financial products recommended to you but any material ownership will be disclosed to you when relevant advice is provided. </w:t>
      </w:r>
    </w:p>
    <w:p w14:paraId="30BC3D1F"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Complaints </w:t>
      </w:r>
    </w:p>
    <w:p w14:paraId="4081919F" w14:textId="77777777" w:rsidR="004124A6" w:rsidRPr="004124A6" w:rsidRDefault="004124A6" w:rsidP="004124A6">
      <w:pPr>
        <w:spacing w:line="240" w:lineRule="auto"/>
        <w:ind w:left="9" w:right="18"/>
        <w:rPr>
          <w:sz w:val="16"/>
          <w:szCs w:val="16"/>
        </w:rPr>
      </w:pPr>
      <w:r w:rsidRPr="004124A6">
        <w:rPr>
          <w:sz w:val="16"/>
          <w:szCs w:val="16"/>
        </w:rPr>
        <w:t xml:space="preserve">If you have a complaint about our </w:t>
      </w:r>
      <w:proofErr w:type="gramStart"/>
      <w:r w:rsidRPr="004124A6">
        <w:rPr>
          <w:sz w:val="16"/>
          <w:szCs w:val="16"/>
        </w:rPr>
        <w:t>service</w:t>
      </w:r>
      <w:proofErr w:type="gramEnd"/>
      <w:r w:rsidRPr="004124A6">
        <w:rPr>
          <w:sz w:val="16"/>
          <w:szCs w:val="16"/>
        </w:rPr>
        <w:t xml:space="preserve"> you should contact your representative and tell them about your complaint. </w:t>
      </w:r>
      <w:r w:rsidRPr="004124A6">
        <w:rPr>
          <w:rFonts w:ascii="Times New Roman" w:eastAsia="Times New Roman" w:hAnsi="Times New Roman" w:cs="Times New Roman"/>
          <w:sz w:val="16"/>
          <w:szCs w:val="16"/>
        </w:rPr>
        <w:t xml:space="preserve"> </w:t>
      </w:r>
      <w:r w:rsidRPr="004124A6">
        <w:rPr>
          <w:sz w:val="16"/>
          <w:szCs w:val="16"/>
        </w:rPr>
        <w:t>The representative will follow BR’s internal dispute resolution policy, which includes sending you a copy of the policy when required to.  If you aren’t satisfied with an outcome, you may contact AFCA, see below.</w:t>
      </w:r>
    </w:p>
    <w:p w14:paraId="45BC65EA" w14:textId="77777777" w:rsidR="004124A6" w:rsidRPr="004124A6" w:rsidRDefault="004124A6" w:rsidP="004124A6">
      <w:pPr>
        <w:spacing w:line="240" w:lineRule="auto"/>
        <w:ind w:left="20"/>
        <w:contextualSpacing/>
        <w:rPr>
          <w:sz w:val="16"/>
          <w:szCs w:val="16"/>
        </w:rPr>
      </w:pPr>
      <w:r w:rsidRPr="004124A6">
        <w:rPr>
          <w:sz w:val="16"/>
          <w:szCs w:val="16"/>
        </w:rPr>
        <w:t xml:space="preserve">BR is a member of the Australian Financial Complaints Authority (AFCA).  AFCA provide fair and independent financial services complaint resolution that is free to consumers. </w:t>
      </w:r>
    </w:p>
    <w:p w14:paraId="679EA416" w14:textId="77777777" w:rsidR="004124A6" w:rsidRPr="004124A6" w:rsidRDefault="004124A6" w:rsidP="004124A6">
      <w:pPr>
        <w:spacing w:after="120" w:line="240" w:lineRule="auto"/>
        <w:ind w:left="20"/>
        <w:contextualSpacing/>
        <w:rPr>
          <w:sz w:val="16"/>
          <w:szCs w:val="16"/>
        </w:rPr>
      </w:pPr>
      <w:r w:rsidRPr="004124A6">
        <w:rPr>
          <w:sz w:val="16"/>
          <w:szCs w:val="16"/>
        </w:rPr>
        <w:t xml:space="preserve"> </w:t>
      </w:r>
      <w:r w:rsidRPr="004124A6">
        <w:rPr>
          <w:sz w:val="16"/>
          <w:szCs w:val="16"/>
        </w:rPr>
        <w:tab/>
        <w:t xml:space="preserve">Website: </w:t>
      </w:r>
      <w:hyperlink r:id="rId9" w:history="1">
        <w:r w:rsidRPr="004124A6">
          <w:rPr>
            <w:sz w:val="16"/>
            <w:szCs w:val="16"/>
            <w:u w:val="single"/>
          </w:rPr>
          <w:t>www.afca.org.au</w:t>
        </w:r>
      </w:hyperlink>
      <w:r w:rsidRPr="004124A6">
        <w:rPr>
          <w:sz w:val="16"/>
          <w:szCs w:val="16"/>
          <w:u w:val="single"/>
        </w:rPr>
        <w:t xml:space="preserve">; </w:t>
      </w:r>
      <w:r w:rsidRPr="004124A6">
        <w:rPr>
          <w:sz w:val="16"/>
          <w:szCs w:val="16"/>
        </w:rPr>
        <w:t xml:space="preserve">Email: </w:t>
      </w:r>
      <w:hyperlink r:id="rId10" w:history="1">
        <w:r w:rsidRPr="004124A6">
          <w:rPr>
            <w:sz w:val="16"/>
            <w:szCs w:val="16"/>
            <w:u w:val="single"/>
          </w:rPr>
          <w:t>info@afca.org.au</w:t>
        </w:r>
      </w:hyperlink>
      <w:r w:rsidRPr="004124A6">
        <w:rPr>
          <w:color w:val="0000FF" w:themeColor="hyperlink"/>
          <w:sz w:val="16"/>
          <w:szCs w:val="16"/>
          <w:u w:val="single"/>
        </w:rPr>
        <w:t xml:space="preserve">; </w:t>
      </w:r>
      <w:r w:rsidRPr="004124A6">
        <w:rPr>
          <w:sz w:val="16"/>
          <w:szCs w:val="16"/>
        </w:rPr>
        <w:t>Telephone: 1800931678 (free call)</w:t>
      </w:r>
    </w:p>
    <w:p w14:paraId="4C09D747" w14:textId="77777777" w:rsidR="004124A6" w:rsidRPr="004124A6" w:rsidRDefault="004124A6" w:rsidP="004124A6">
      <w:pPr>
        <w:spacing w:line="240" w:lineRule="auto"/>
        <w:ind w:left="709"/>
        <w:contextualSpacing/>
        <w:rPr>
          <w:sz w:val="16"/>
          <w:szCs w:val="16"/>
        </w:rPr>
      </w:pPr>
      <w:r w:rsidRPr="004124A6">
        <w:rPr>
          <w:sz w:val="16"/>
          <w:szCs w:val="16"/>
        </w:rPr>
        <w:t xml:space="preserve">In writing </w:t>
      </w:r>
      <w:proofErr w:type="gramStart"/>
      <w:r w:rsidRPr="004124A6">
        <w:rPr>
          <w:sz w:val="16"/>
          <w:szCs w:val="16"/>
        </w:rPr>
        <w:t>to:</w:t>
      </w:r>
      <w:proofErr w:type="gramEnd"/>
      <w:r w:rsidRPr="004124A6">
        <w:rPr>
          <w:sz w:val="16"/>
          <w:szCs w:val="16"/>
        </w:rPr>
        <w:t xml:space="preserve"> Australian Financial Complaints Authority, GPO Box 3, Melbourne, VIC, 3001.</w:t>
      </w:r>
    </w:p>
    <w:p w14:paraId="30949F3A" w14:textId="77777777" w:rsidR="004124A6" w:rsidRPr="004124A6" w:rsidRDefault="004124A6" w:rsidP="004124A6">
      <w:pPr>
        <w:spacing w:after="0" w:line="240" w:lineRule="auto"/>
        <w:rPr>
          <w:b/>
          <w:color w:val="FF0000"/>
          <w:sz w:val="16"/>
          <w:szCs w:val="16"/>
        </w:rPr>
      </w:pPr>
    </w:p>
    <w:p w14:paraId="50AD4524" w14:textId="77777777" w:rsidR="004124A6" w:rsidRPr="004124A6" w:rsidRDefault="004124A6" w:rsidP="004124A6">
      <w:pPr>
        <w:spacing w:after="0" w:line="240" w:lineRule="auto"/>
        <w:rPr>
          <w:b/>
          <w:color w:val="FF0000"/>
          <w:sz w:val="16"/>
          <w:szCs w:val="16"/>
        </w:rPr>
      </w:pPr>
      <w:r w:rsidRPr="004124A6">
        <w:rPr>
          <w:b/>
          <w:color w:val="FF0000"/>
          <w:sz w:val="16"/>
          <w:szCs w:val="16"/>
        </w:rPr>
        <w:t xml:space="preserve">Professional Indemnity Insurance  </w:t>
      </w:r>
    </w:p>
    <w:p w14:paraId="22426473" w14:textId="77777777" w:rsidR="004124A6" w:rsidRPr="004124A6" w:rsidRDefault="004124A6" w:rsidP="004124A6">
      <w:pPr>
        <w:spacing w:line="240" w:lineRule="auto"/>
        <w:rPr>
          <w:b/>
          <w:color w:val="FF0000"/>
          <w:sz w:val="16"/>
          <w:szCs w:val="16"/>
        </w:rPr>
      </w:pPr>
      <w:r w:rsidRPr="004124A6">
        <w:rPr>
          <w:sz w:val="16"/>
          <w:szCs w:val="16"/>
        </w:rPr>
        <w:t xml:space="preserve">BR has in place Professional Indemnity Insurance which satisfies the requirements for compensation under s912B of the Corporations Act and that covers our authorized representatives. </w:t>
      </w:r>
    </w:p>
    <w:p w14:paraId="6814589B" w14:textId="77777777" w:rsidR="000C624E" w:rsidRDefault="000C624E"/>
    <w:p w14:paraId="6F98216D" w14:textId="77777777" w:rsidR="000C624E" w:rsidRDefault="000C624E"/>
    <w:p w14:paraId="3A473AC0" w14:textId="77777777" w:rsidR="000C624E" w:rsidRDefault="000C624E"/>
    <w:p w14:paraId="59A59DCF" w14:textId="77777777" w:rsidR="000C624E" w:rsidRDefault="000C624E"/>
    <w:p w14:paraId="41A3E1AB" w14:textId="77777777" w:rsidR="000C624E" w:rsidRDefault="000C624E"/>
    <w:p w14:paraId="4715444C" w14:textId="77777777" w:rsidR="000C624E" w:rsidRDefault="000C624E"/>
    <w:p w14:paraId="15E9F606" w14:textId="77777777" w:rsidR="000C624E" w:rsidRDefault="000C624E"/>
    <w:p w14:paraId="4B8FF28F" w14:textId="77777777" w:rsidR="000C624E" w:rsidRDefault="000C624E"/>
    <w:p w14:paraId="6C59427F" w14:textId="77777777" w:rsidR="000C624E" w:rsidRDefault="000C624E"/>
    <w:p w14:paraId="3758E737" w14:textId="77777777" w:rsidR="000C624E" w:rsidRDefault="000C624E"/>
    <w:p w14:paraId="68AB042B" w14:textId="77777777" w:rsidR="000C624E" w:rsidRDefault="000C624E"/>
    <w:p w14:paraId="03CBC1A3" w14:textId="77777777" w:rsidR="000C624E" w:rsidRDefault="000C624E"/>
    <w:p w14:paraId="3AD03FCA" w14:textId="77777777" w:rsidR="000C624E" w:rsidRDefault="000C624E"/>
    <w:p w14:paraId="622BFD5A" w14:textId="77777777" w:rsidR="000C624E" w:rsidRDefault="000C624E"/>
    <w:p w14:paraId="4CA33EC9" w14:textId="77777777" w:rsidR="004662F8" w:rsidRDefault="004662F8"/>
    <w:p w14:paraId="2DAC7DBC" w14:textId="77777777" w:rsidR="004662F8" w:rsidRDefault="004662F8"/>
    <w:p w14:paraId="4D607188" w14:textId="77777777" w:rsidR="000C624E" w:rsidRDefault="000C624E"/>
    <w:p w14:paraId="07F05F41" w14:textId="77777777" w:rsidR="004124A6" w:rsidRDefault="004124A6" w:rsidP="00155702">
      <w:pPr>
        <w:rPr>
          <w:rFonts w:ascii="Calibri" w:hAnsi="Calibri" w:cs="Calibri"/>
          <w:sz w:val="16"/>
          <w:szCs w:val="16"/>
        </w:rPr>
      </w:pPr>
    </w:p>
    <w:p w14:paraId="2B82E2DB" w14:textId="77777777" w:rsidR="004124A6" w:rsidRDefault="004124A6" w:rsidP="00155702">
      <w:pPr>
        <w:rPr>
          <w:rFonts w:ascii="Calibri" w:hAnsi="Calibri" w:cs="Calibri"/>
          <w:sz w:val="16"/>
          <w:szCs w:val="16"/>
        </w:rPr>
      </w:pPr>
    </w:p>
    <w:p w14:paraId="5745C5C5" w14:textId="77777777" w:rsidR="004124A6" w:rsidRDefault="004124A6" w:rsidP="00155702">
      <w:pPr>
        <w:rPr>
          <w:rFonts w:ascii="Calibri" w:hAnsi="Calibri" w:cs="Calibri"/>
          <w:sz w:val="16"/>
          <w:szCs w:val="16"/>
        </w:rPr>
      </w:pPr>
    </w:p>
    <w:p w14:paraId="2AC10B15" w14:textId="77777777" w:rsidR="004124A6" w:rsidRDefault="004124A6" w:rsidP="00155702">
      <w:pPr>
        <w:rPr>
          <w:rFonts w:ascii="Calibri" w:hAnsi="Calibri" w:cs="Calibri"/>
          <w:sz w:val="16"/>
          <w:szCs w:val="16"/>
        </w:rPr>
      </w:pPr>
    </w:p>
    <w:p w14:paraId="4AD2E96A" w14:textId="77777777" w:rsidR="004124A6" w:rsidRDefault="004124A6" w:rsidP="00155702">
      <w:pPr>
        <w:rPr>
          <w:rFonts w:ascii="Calibri" w:hAnsi="Calibri" w:cs="Calibri"/>
          <w:sz w:val="16"/>
          <w:szCs w:val="16"/>
        </w:rPr>
      </w:pPr>
    </w:p>
    <w:p w14:paraId="1851579C" w14:textId="77777777" w:rsidR="004124A6" w:rsidRDefault="004124A6" w:rsidP="00155702">
      <w:pPr>
        <w:rPr>
          <w:rFonts w:ascii="Calibri" w:hAnsi="Calibri" w:cs="Calibri"/>
          <w:sz w:val="16"/>
          <w:szCs w:val="16"/>
        </w:rPr>
      </w:pPr>
    </w:p>
    <w:p w14:paraId="039AB5D2" w14:textId="77777777" w:rsidR="004124A6" w:rsidRDefault="004124A6" w:rsidP="00155702">
      <w:pPr>
        <w:rPr>
          <w:rFonts w:ascii="Calibri" w:hAnsi="Calibri" w:cs="Calibri"/>
          <w:sz w:val="16"/>
          <w:szCs w:val="16"/>
        </w:rPr>
      </w:pPr>
    </w:p>
    <w:p w14:paraId="613DEAF7" w14:textId="77777777" w:rsidR="004124A6" w:rsidRDefault="004124A6" w:rsidP="00155702">
      <w:pPr>
        <w:rPr>
          <w:rFonts w:ascii="Calibri" w:hAnsi="Calibri" w:cs="Calibri"/>
          <w:sz w:val="16"/>
          <w:szCs w:val="16"/>
        </w:rPr>
      </w:pPr>
    </w:p>
    <w:p w14:paraId="1F6BEFFB" w14:textId="77777777" w:rsidR="004124A6" w:rsidRDefault="004124A6" w:rsidP="00155702">
      <w:pPr>
        <w:rPr>
          <w:rFonts w:ascii="Calibri" w:hAnsi="Calibri" w:cs="Calibri"/>
          <w:sz w:val="16"/>
          <w:szCs w:val="16"/>
        </w:rPr>
      </w:pPr>
    </w:p>
    <w:p w14:paraId="46772D9D" w14:textId="661841F6" w:rsidR="005159D7" w:rsidRPr="001E6114" w:rsidRDefault="005159D7" w:rsidP="005159D7">
      <w:pPr>
        <w:rPr>
          <w:rFonts w:ascii="Calibri" w:hAnsi="Calibri" w:cs="Calibri"/>
          <w:sz w:val="16"/>
          <w:szCs w:val="16"/>
        </w:rPr>
      </w:pPr>
      <w:r w:rsidRPr="00DB055E">
        <w:rPr>
          <w:rFonts w:ascii="Calibri" w:hAnsi="Calibri" w:cs="Calibri"/>
          <w:sz w:val="16"/>
          <w:szCs w:val="16"/>
        </w:rPr>
        <w:t>DISCLAIMER</w:t>
      </w:r>
      <w:r>
        <w:rPr>
          <w:rFonts w:ascii="Calibri" w:hAnsi="Calibri" w:cs="Calibri"/>
          <w:sz w:val="16"/>
          <w:szCs w:val="16"/>
        </w:rPr>
        <w:t xml:space="preserve"> and DISCLOSURES</w:t>
      </w:r>
      <w:r w:rsidRPr="00DB055E">
        <w:rPr>
          <w:rFonts w:ascii="Calibri" w:hAnsi="Calibri" w:cs="Calibri"/>
          <w:sz w:val="16"/>
          <w:szCs w:val="16"/>
        </w:rPr>
        <w:br/>
        <w:t>This report has been prepared and issued by RaaS</w:t>
      </w:r>
      <w:r>
        <w:rPr>
          <w:rFonts w:ascii="Calibri" w:hAnsi="Calibri" w:cs="Calibri"/>
          <w:sz w:val="16"/>
          <w:szCs w:val="16"/>
        </w:rPr>
        <w:t xml:space="preserve"> Advisory Pty Ltd (A.B.N. 99 614 783 363) on behalf of </w:t>
      </w:r>
      <w:r w:rsidR="00CE5784">
        <w:rPr>
          <w:rFonts w:ascii="Calibri" w:hAnsi="Calibri" w:cs="Calibri"/>
          <w:sz w:val="16"/>
          <w:szCs w:val="16"/>
        </w:rPr>
        <w:t>Data Exchange Network</w:t>
      </w:r>
      <w:r>
        <w:rPr>
          <w:rFonts w:ascii="Calibri" w:hAnsi="Calibri" w:cs="Calibri"/>
          <w:sz w:val="16"/>
          <w:szCs w:val="16"/>
        </w:rPr>
        <w:t xml:space="preserve">. RaaS </w:t>
      </w:r>
      <w:r w:rsidR="00DC7CCD">
        <w:rPr>
          <w:rFonts w:ascii="Calibri" w:hAnsi="Calibri" w:cs="Calibri"/>
          <w:sz w:val="16"/>
          <w:szCs w:val="16"/>
        </w:rPr>
        <w:t>is</w:t>
      </w:r>
      <w:r>
        <w:rPr>
          <w:rFonts w:ascii="Calibri" w:hAnsi="Calibri" w:cs="Calibri"/>
          <w:sz w:val="16"/>
          <w:szCs w:val="16"/>
        </w:rPr>
        <w:t xml:space="preserve"> paid for the research it produces by way of a monthly retainer.</w:t>
      </w:r>
      <w:r w:rsidR="001E05B1">
        <w:rPr>
          <w:rFonts w:ascii="Calibri" w:hAnsi="Calibri" w:cs="Calibri"/>
          <w:sz w:val="16"/>
          <w:szCs w:val="16"/>
        </w:rPr>
        <w:t xml:space="preserve"> The authors of this report may </w:t>
      </w:r>
      <w:r w:rsidR="00C47467">
        <w:rPr>
          <w:rFonts w:ascii="Calibri" w:hAnsi="Calibri" w:cs="Calibri"/>
          <w:sz w:val="16"/>
          <w:szCs w:val="16"/>
        </w:rPr>
        <w:t xml:space="preserve">own shares in this company and if so, this will be clearly displayed on the front page of this report. RaaS’s </w:t>
      </w:r>
      <w:r w:rsidR="00B931DA">
        <w:rPr>
          <w:rFonts w:ascii="Calibri" w:hAnsi="Calibri" w:cs="Calibri"/>
          <w:sz w:val="16"/>
          <w:szCs w:val="16"/>
        </w:rPr>
        <w:t xml:space="preserve">analysts adhere to a strict trading policy. </w:t>
      </w:r>
      <w:r>
        <w:rPr>
          <w:rFonts w:ascii="Calibri" w:hAnsi="Calibri" w:cs="Calibri"/>
          <w:sz w:val="16"/>
          <w:szCs w:val="16"/>
        </w:rPr>
        <w:t>This disclaimer a</w:t>
      </w:r>
      <w:r w:rsidR="00DC7CCD">
        <w:rPr>
          <w:rFonts w:ascii="Calibri" w:hAnsi="Calibri" w:cs="Calibri"/>
          <w:sz w:val="16"/>
          <w:szCs w:val="16"/>
        </w:rPr>
        <w:t>n</w:t>
      </w:r>
      <w:r>
        <w:rPr>
          <w:rFonts w:ascii="Calibri" w:hAnsi="Calibri" w:cs="Calibri"/>
          <w:sz w:val="16"/>
          <w:szCs w:val="16"/>
        </w:rPr>
        <w:t xml:space="preserve">d disclosure should be read in conjunction with RaaS </w:t>
      </w:r>
      <w:proofErr w:type="gramStart"/>
      <w:r>
        <w:rPr>
          <w:rFonts w:ascii="Calibri" w:hAnsi="Calibri" w:cs="Calibri"/>
          <w:sz w:val="16"/>
          <w:szCs w:val="16"/>
        </w:rPr>
        <w:t>Advisory’s  Financial</w:t>
      </w:r>
      <w:proofErr w:type="gramEnd"/>
      <w:r>
        <w:rPr>
          <w:rFonts w:ascii="Calibri" w:hAnsi="Calibri" w:cs="Calibri"/>
          <w:sz w:val="16"/>
          <w:szCs w:val="16"/>
        </w:rPr>
        <w:t xml:space="preserve"> Services Guide on the previous two pages or at www.raasgroup.com</w:t>
      </w:r>
      <w:r w:rsidRPr="00DB055E">
        <w:rPr>
          <w:rFonts w:ascii="Calibri" w:hAnsi="Calibri" w:cs="Calibri"/>
          <w:sz w:val="16"/>
          <w:szCs w:val="16"/>
        </w:rPr>
        <w:t xml:space="preserve">. All information used in the publication of this report has been compiled from publicly available sources that are believed to be reliable; </w:t>
      </w:r>
      <w:r>
        <w:rPr>
          <w:rFonts w:ascii="Calibri" w:hAnsi="Calibri" w:cs="Calibri"/>
          <w:sz w:val="16"/>
          <w:szCs w:val="16"/>
        </w:rPr>
        <w:t>neither</w:t>
      </w:r>
      <w:r w:rsidRPr="00DB055E">
        <w:rPr>
          <w:rFonts w:ascii="Calibri" w:hAnsi="Calibri" w:cs="Calibri"/>
          <w:sz w:val="16"/>
          <w:szCs w:val="16"/>
        </w:rPr>
        <w:t xml:space="preserve"> </w:t>
      </w:r>
      <w:r>
        <w:rPr>
          <w:rFonts w:ascii="Calibri" w:hAnsi="Calibri" w:cs="Calibri"/>
          <w:sz w:val="16"/>
          <w:szCs w:val="16"/>
        </w:rPr>
        <w:t>RaaS</w:t>
      </w:r>
      <w:r w:rsidRPr="00DB055E">
        <w:rPr>
          <w:rFonts w:ascii="Calibri" w:hAnsi="Calibri" w:cs="Calibri"/>
          <w:sz w:val="16"/>
          <w:szCs w:val="16"/>
        </w:rPr>
        <w:t xml:space="preserve"> Advisory</w:t>
      </w:r>
      <w:r>
        <w:rPr>
          <w:rFonts w:ascii="Calibri" w:hAnsi="Calibri" w:cs="Calibri"/>
          <w:sz w:val="16"/>
          <w:szCs w:val="16"/>
        </w:rPr>
        <w:t xml:space="preserve"> nor </w:t>
      </w:r>
      <w:r w:rsidR="00CE5784">
        <w:rPr>
          <w:rFonts w:ascii="Calibri" w:hAnsi="Calibri" w:cs="Calibri"/>
          <w:sz w:val="16"/>
          <w:szCs w:val="16"/>
        </w:rPr>
        <w:t>Data Exchange Network</w:t>
      </w:r>
      <w:r w:rsidRPr="00DB055E">
        <w:rPr>
          <w:rFonts w:ascii="Calibri" w:hAnsi="Calibri" w:cs="Calibri"/>
          <w:sz w:val="16"/>
          <w:szCs w:val="16"/>
        </w:rPr>
        <w:t xml:space="preserve"> </w:t>
      </w:r>
      <w:r>
        <w:rPr>
          <w:rFonts w:ascii="Calibri" w:hAnsi="Calibri" w:cs="Calibri"/>
          <w:sz w:val="16"/>
          <w:szCs w:val="16"/>
        </w:rPr>
        <w:t xml:space="preserve">can </w:t>
      </w:r>
      <w:r w:rsidRPr="00DB055E">
        <w:rPr>
          <w:rFonts w:ascii="Calibri" w:hAnsi="Calibri" w:cs="Calibri"/>
          <w:sz w:val="16"/>
          <w:szCs w:val="16"/>
        </w:rPr>
        <w:t xml:space="preserve">guarantee the accuracy or completeness of this report. Opinions contained in this report represent those of the principals of RaaS Advisory at the time of publication. RaaS Advisory is a Corporate Authorised Representative under AFSL licence No </w:t>
      </w:r>
      <w:r>
        <w:rPr>
          <w:rFonts w:ascii="Calibri" w:hAnsi="Calibri" w:cs="Calibri"/>
          <w:sz w:val="16"/>
          <w:szCs w:val="16"/>
        </w:rPr>
        <w:t xml:space="preserve">456663. </w:t>
      </w:r>
      <w:r w:rsidRPr="00DB055E">
        <w:rPr>
          <w:rFonts w:ascii="Calibri" w:hAnsi="Calibri" w:cs="Calibri"/>
          <w:sz w:val="16"/>
          <w:szCs w:val="16"/>
        </w:rPr>
        <w:t xml:space="preserve">This is not a solicitation or inducement to buy, sell, subscribe, or underwrite any securities mentioned or in the topic of this document. This document is provided for information purposes only and should not be construed as an offer or solicitation for investment in any securities mentioned or in the topic of this document. Forward-looking information or statements in this report contain information that is based on assumptions, forecasts of future results, estimates of amounts not yet determinable, and therefore involve known and unknown risks, uncertainties and other factors which may cause the actual results, performance or achievements of their subject matter to be materially different from current expectations. Past performance is not a guarantee of future performance. To the maximum extent permitted by law, RaaS Advisory, its affiliates, the respective directors, officers and employees will not be liable for any loss or damage arising as a result of reliance being placed on any of the information contained in this report and do not guarantee the returns on investments in the products discussed in this publication. Copyright </w:t>
      </w:r>
      <w:r w:rsidRPr="00DB055E">
        <w:rPr>
          <w:rFonts w:ascii="Calibri" w:hAnsi="Calibri" w:cs="Calibri"/>
          <w:sz w:val="16"/>
          <w:szCs w:val="16"/>
        </w:rPr>
        <w:fldChar w:fldCharType="begin"/>
      </w:r>
      <w:r w:rsidRPr="00DB055E">
        <w:rPr>
          <w:rFonts w:ascii="Calibri" w:hAnsi="Calibri" w:cs="Calibri"/>
          <w:sz w:val="16"/>
          <w:szCs w:val="16"/>
        </w:rPr>
        <w:instrText xml:space="preserve"> DATE  \@ "yyyy" </w:instrText>
      </w:r>
      <w:r w:rsidRPr="00DB055E">
        <w:rPr>
          <w:rFonts w:ascii="Calibri" w:hAnsi="Calibri" w:cs="Calibri"/>
          <w:sz w:val="16"/>
          <w:szCs w:val="16"/>
        </w:rPr>
        <w:fldChar w:fldCharType="separate"/>
      </w:r>
      <w:r w:rsidR="003E33CF">
        <w:rPr>
          <w:rFonts w:ascii="Calibri" w:hAnsi="Calibri" w:cs="Calibri"/>
          <w:noProof/>
          <w:sz w:val="16"/>
          <w:szCs w:val="16"/>
        </w:rPr>
        <w:t>2019</w:t>
      </w:r>
      <w:r w:rsidRPr="00DB055E">
        <w:rPr>
          <w:rFonts w:ascii="Calibri" w:hAnsi="Calibri" w:cs="Calibri"/>
          <w:sz w:val="16"/>
          <w:szCs w:val="16"/>
        </w:rPr>
        <w:fldChar w:fldCharType="end"/>
      </w:r>
      <w:r w:rsidRPr="00DB055E">
        <w:rPr>
          <w:rFonts w:ascii="Calibri" w:hAnsi="Calibri" w:cs="Calibri"/>
          <w:sz w:val="16"/>
          <w:szCs w:val="16"/>
        </w:rPr>
        <w:t xml:space="preserve"> RaaS Advisory Pty Ltd (A.B.N. 99 614 783 363). All rights reserved.</w:t>
      </w:r>
    </w:p>
    <w:p w14:paraId="0AE23964" w14:textId="09A628C8" w:rsidR="00155702" w:rsidRPr="001E6114" w:rsidRDefault="00155702" w:rsidP="005159D7">
      <w:pPr>
        <w:rPr>
          <w:rFonts w:ascii="Calibri" w:hAnsi="Calibri" w:cs="Calibri"/>
          <w:sz w:val="16"/>
          <w:szCs w:val="16"/>
        </w:rPr>
      </w:pPr>
    </w:p>
    <w:sectPr w:rsidR="00155702" w:rsidRPr="001E6114" w:rsidSect="00C6248C">
      <w:headerReference w:type="default" r:id="rId11"/>
      <w:headerReference w:type="first" r:id="rId12"/>
      <w:footerReference w:type="first" r:id="rId13"/>
      <w:pgSz w:w="11906" w:h="16838"/>
      <w:pgMar w:top="1440" w:right="1440" w:bottom="1440" w:left="1440" w:header="113"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38EB1" w14:textId="77777777" w:rsidR="000145B6" w:rsidRDefault="000145B6" w:rsidP="009D5FC6">
      <w:pPr>
        <w:spacing w:after="0" w:line="240" w:lineRule="auto"/>
      </w:pPr>
      <w:r>
        <w:separator/>
      </w:r>
    </w:p>
  </w:endnote>
  <w:endnote w:type="continuationSeparator" w:id="0">
    <w:p w14:paraId="181F3A93" w14:textId="77777777" w:rsidR="000145B6" w:rsidRDefault="000145B6" w:rsidP="009D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A668" w14:textId="01665FD9" w:rsidR="00A9447C" w:rsidRDefault="00BA6F96">
    <w:pPr>
      <w:pStyle w:val="Footer"/>
    </w:pPr>
    <w:r>
      <w:rPr>
        <w:noProof/>
      </w:rPr>
      <mc:AlternateContent>
        <mc:Choice Requires="wps">
          <w:drawing>
            <wp:anchor distT="0" distB="0" distL="114300" distR="114300" simplePos="0" relativeHeight="251660288" behindDoc="0" locked="0" layoutInCell="1" allowOverlap="1" wp14:anchorId="4F77C918" wp14:editId="261C851A">
              <wp:simplePos x="0" y="0"/>
              <wp:positionH relativeFrom="page">
                <wp:align>right</wp:align>
              </wp:positionH>
              <wp:positionV relativeFrom="paragraph">
                <wp:posOffset>-136525</wp:posOffset>
              </wp:positionV>
              <wp:extent cx="743902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439025" cy="266700"/>
                      </a:xfrm>
                      <a:prstGeom prst="rect">
                        <a:avLst/>
                      </a:prstGeom>
                      <a:noFill/>
                      <a:ln w="6350">
                        <a:noFill/>
                      </a:ln>
                    </wps:spPr>
                    <wps:txbx>
                      <w:txbxContent>
                        <w:p w14:paraId="1B8B8F47" w14:textId="606ABEFC" w:rsidR="00BA6F96" w:rsidRPr="005D2F76" w:rsidRDefault="00CE5784" w:rsidP="00025A63">
                          <w:pPr>
                            <w:jc w:val="center"/>
                            <w:rPr>
                              <w:bCs/>
                              <w:sz w:val="16"/>
                              <w:szCs w:val="16"/>
                            </w:rPr>
                          </w:pPr>
                          <w:r>
                            <w:rPr>
                              <w:bCs/>
                              <w:sz w:val="16"/>
                              <w:szCs w:val="16"/>
                            </w:rPr>
                            <w:t>Data Exchange Network</w:t>
                          </w:r>
                          <w:r w:rsidR="00BA6F96" w:rsidRPr="005D2F76">
                            <w:rPr>
                              <w:bCs/>
                              <w:sz w:val="16"/>
                              <w:szCs w:val="16"/>
                            </w:rPr>
                            <w:t xml:space="preserve"> is a research client of RaaS Advisory. This report should be read in conjunction with the FSG and disclosures following this page.</w:t>
                          </w:r>
                          <w:r w:rsidR="0039048E">
                            <w:rPr>
                              <w:bCs/>
                              <w:sz w:val="16"/>
                              <w:szCs w:val="16"/>
                            </w:rPr>
                            <w:t xml:space="preserve"> </w:t>
                          </w:r>
                        </w:p>
                        <w:p w14:paraId="2DAD1840" w14:textId="1ED7CD1B" w:rsidR="00BA6F96" w:rsidRDefault="00BA6F96">
                          <w:r w:rsidRPr="00BA6F96">
                            <w:t xml:space="preserve"> RAP 5-age.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7C918" id="_x0000_t202" coordsize="21600,21600" o:spt="202" path="m,l,21600r21600,l21600,xe">
              <v:stroke joinstyle="miter"/>
              <v:path gradientshapeok="t" o:connecttype="rect"/>
            </v:shapetype>
            <v:shape id="Text Box 7" o:spid="_x0000_s1027" type="#_x0000_t202" style="position:absolute;margin-left:534.55pt;margin-top:-10.75pt;width:585.75pt;height:21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" filled="f" stroked="f" strokeweight=".5pt">
              <v:textbox>
                <w:txbxContent>
                  <w:p w14:paraId="1B8B8F47" w14:textId="606ABEFC" w:rsidR="00BA6F96" w:rsidRPr="005D2F76" w:rsidRDefault="00CE5784" w:rsidP="00025A63">
                    <w:pPr>
                      <w:jc w:val="center"/>
                      <w:rPr>
                        <w:bCs/>
                        <w:sz w:val="16"/>
                        <w:szCs w:val="16"/>
                      </w:rPr>
                    </w:pPr>
                    <w:r>
                      <w:rPr>
                        <w:bCs/>
                        <w:sz w:val="16"/>
                        <w:szCs w:val="16"/>
                      </w:rPr>
                      <w:t>Data Exchange Network</w:t>
                    </w:r>
                    <w:r w:rsidR="00BA6F96" w:rsidRPr="005D2F76">
                      <w:rPr>
                        <w:bCs/>
                        <w:sz w:val="16"/>
                        <w:szCs w:val="16"/>
                      </w:rPr>
                      <w:t xml:space="preserve"> is a research client of RaaS Advisory. This report should be read in conjunction with the FSG and disclosures following this page.</w:t>
                    </w:r>
                    <w:r w:rsidR="0039048E">
                      <w:rPr>
                        <w:bCs/>
                        <w:sz w:val="16"/>
                        <w:szCs w:val="16"/>
                      </w:rPr>
                      <w:t xml:space="preserve"> </w:t>
                    </w:r>
                  </w:p>
                  <w:p w14:paraId="2DAD1840" w14:textId="1ED7CD1B" w:rsidR="00BA6F96" w:rsidRDefault="00BA6F96">
                    <w:r w:rsidRPr="00BA6F96">
                      <w:t xml:space="preserve"> RAP 5-age.</w:t>
                    </w:r>
                  </w:p>
                </w:txbxContent>
              </v:textbox>
              <w10:wrap anchorx="page"/>
            </v:shape>
          </w:pict>
        </mc:Fallback>
      </mc:AlternateContent>
    </w:r>
    <w:r w:rsidR="00E146D0">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D64F0" w14:textId="77777777" w:rsidR="000145B6" w:rsidRDefault="000145B6" w:rsidP="009D5FC6">
      <w:pPr>
        <w:spacing w:after="0" w:line="240" w:lineRule="auto"/>
      </w:pPr>
      <w:r>
        <w:separator/>
      </w:r>
    </w:p>
  </w:footnote>
  <w:footnote w:type="continuationSeparator" w:id="0">
    <w:p w14:paraId="791B5FA7" w14:textId="77777777" w:rsidR="000145B6" w:rsidRDefault="000145B6" w:rsidP="009D5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FA786" w14:textId="77777777" w:rsidR="00160DAA" w:rsidRPr="00C242F5" w:rsidRDefault="000B5962" w:rsidP="000B5962">
    <w:pPr>
      <w:pStyle w:val="Header"/>
      <w:spacing w:after="0"/>
    </w:pPr>
    <w:r>
      <w:rPr>
        <w:b/>
        <w:noProof/>
        <w:color w:val="4BACC6" w:themeColor="accent5"/>
        <w:sz w:val="36"/>
        <w:szCs w:val="36"/>
        <w:lang w:val="en-US" w:bidi="he-IL"/>
      </w:rPr>
      <w:drawing>
        <wp:inline distT="0" distB="0" distL="0" distR="0" wp14:anchorId="62EEC874" wp14:editId="7D8CFD87">
          <wp:extent cx="1171575" cy="826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613" cy="82843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17B8" w14:textId="04E24356" w:rsidR="000C624E" w:rsidRPr="00155702" w:rsidRDefault="00582D07" w:rsidP="00BC6F98">
    <w:pPr>
      <w:pStyle w:val="Header"/>
      <w:jc w:val="both"/>
      <w:rPr>
        <w:b/>
        <w:color w:val="FF0000"/>
        <w:sz w:val="16"/>
        <w:szCs w:val="16"/>
      </w:rPr>
    </w:pPr>
    <w:r>
      <w:rPr>
        <w:b/>
        <w:noProof/>
        <w:color w:val="4BACC6" w:themeColor="accent5"/>
        <w:sz w:val="36"/>
        <w:szCs w:val="36"/>
        <w:lang w:val="en-US" w:bidi="he-IL"/>
      </w:rPr>
      <mc:AlternateContent>
        <mc:Choice Requires="wps">
          <w:drawing>
            <wp:anchor distT="0" distB="0" distL="114300" distR="114300" simplePos="0" relativeHeight="251661312" behindDoc="0" locked="0" layoutInCell="1" allowOverlap="1" wp14:anchorId="773DDFC7" wp14:editId="07AE464D">
              <wp:simplePos x="0" y="0"/>
              <wp:positionH relativeFrom="column">
                <wp:posOffset>3943350</wp:posOffset>
              </wp:positionH>
              <wp:positionV relativeFrom="paragraph">
                <wp:posOffset>366395</wp:posOffset>
              </wp:positionV>
              <wp:extent cx="2390775" cy="5048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390775" cy="504825"/>
                      </a:xfrm>
                      <a:prstGeom prst="rect">
                        <a:avLst/>
                      </a:prstGeom>
                      <a:noFill/>
                      <a:ln w="6350">
                        <a:noFill/>
                      </a:ln>
                    </wps:spPr>
                    <wps:txbx>
                      <w:txbxContent>
                        <w:p w14:paraId="03141AAF" w14:textId="189BA695" w:rsidR="00582D07" w:rsidRPr="00E01754" w:rsidRDefault="00582D07" w:rsidP="00E01754">
                          <w:pPr>
                            <w:jc w:val="right"/>
                            <w:rPr>
                              <w:rFonts w:ascii="Baskerville Old Face" w:hAnsi="Baskerville Old Face"/>
                              <w:b/>
                              <w:bCs/>
                              <w:i/>
                              <w:iCs/>
                              <w:color w:val="FF0000"/>
                              <w:sz w:val="48"/>
                              <w:szCs w:val="48"/>
                              <w:lang w:val="en-US"/>
                            </w:rPr>
                          </w:pPr>
                          <w:r w:rsidRPr="00E01754">
                            <w:rPr>
                              <w:rFonts w:ascii="Baskerville Old Face" w:hAnsi="Baskerville Old Face"/>
                              <w:b/>
                              <w:bCs/>
                              <w:i/>
                              <w:iCs/>
                              <w:color w:val="FF0000"/>
                              <w:sz w:val="48"/>
                              <w:szCs w:val="48"/>
                              <w:lang w:val="en-US"/>
                            </w:rPr>
                            <w:t>Flash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3DDFC7" id="_x0000_t202" coordsize="21600,21600" o:spt="202" path="m,l,21600r21600,l21600,xe">
              <v:stroke joinstyle="miter"/>
              <v:path gradientshapeok="t" o:connecttype="rect"/>
            </v:shapetype>
            <v:shape id="Text Box 5" o:spid="_x0000_s1026" type="#_x0000_t202" style="position:absolute;left:0;text-align:left;margin-left:310.5pt;margin-top:28.85pt;width:188.25pt;height:3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" filled="f" stroked="f" strokeweight=".5pt">
              <v:textbox>
                <w:txbxContent>
                  <w:p w14:paraId="03141AAF" w14:textId="189BA695" w:rsidR="00582D07" w:rsidRPr="00E01754" w:rsidRDefault="00582D07" w:rsidP="00E01754">
                    <w:pPr>
                      <w:jc w:val="right"/>
                      <w:rPr>
                        <w:rFonts w:ascii="Baskerville Old Face" w:hAnsi="Baskerville Old Face"/>
                        <w:b/>
                        <w:bCs/>
                        <w:i/>
                        <w:iCs/>
                        <w:color w:val="FF0000"/>
                        <w:sz w:val="48"/>
                        <w:szCs w:val="48"/>
                        <w:lang w:val="en-US"/>
                      </w:rPr>
                    </w:pPr>
                    <w:r w:rsidRPr="00E01754">
                      <w:rPr>
                        <w:rFonts w:ascii="Baskerville Old Face" w:hAnsi="Baskerville Old Face"/>
                        <w:b/>
                        <w:bCs/>
                        <w:i/>
                        <w:iCs/>
                        <w:color w:val="FF0000"/>
                        <w:sz w:val="48"/>
                        <w:szCs w:val="48"/>
                        <w:lang w:val="en-US"/>
                      </w:rPr>
                      <w:t>Flash Comment</w:t>
                    </w:r>
                  </w:p>
                </w:txbxContent>
              </v:textbox>
            </v:shape>
          </w:pict>
        </mc:Fallback>
      </mc:AlternateContent>
    </w:r>
    <w:r w:rsidR="00201978">
      <w:rPr>
        <w:b/>
        <w:noProof/>
        <w:color w:val="4BACC6" w:themeColor="accent5"/>
        <w:sz w:val="36"/>
        <w:szCs w:val="36"/>
        <w:lang w:val="en-US" w:bidi="he-IL"/>
      </w:rPr>
      <w:drawing>
        <wp:inline distT="0" distB="0" distL="0" distR="0" wp14:anchorId="6C947C84" wp14:editId="70F38739">
          <wp:extent cx="1554480" cy="109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1097280"/>
                  </a:xfrm>
                  <a:prstGeom prst="rect">
                    <a:avLst/>
                  </a:prstGeom>
                  <a:noFill/>
                </pic:spPr>
              </pic:pic>
            </a:graphicData>
          </a:graphic>
        </wp:inline>
      </w:drawing>
    </w:r>
    <w:r w:rsidR="00DE1448">
      <w:rPr>
        <w:b/>
        <w:noProof/>
        <w:color w:val="4BACC6" w:themeColor="accent5"/>
        <w:sz w:val="36"/>
        <w:szCs w:val="36"/>
        <w:lang w:val="en-AU" w:eastAsia="en-AU"/>
      </w:rPr>
      <w:tab/>
    </w:r>
    <w:r w:rsidR="00DE1448" w:rsidRPr="00DE1448">
      <w:rPr>
        <w:b/>
        <w:noProof/>
        <w:color w:val="FF0000"/>
        <w:sz w:val="36"/>
        <w:szCs w:val="36"/>
        <w:lang w:val="en-AU" w:eastAsia="en-AU"/>
      </w:rPr>
      <w:tab/>
    </w:r>
    <w:r w:rsidR="00AA1C66">
      <w:rPr>
        <w:b/>
        <w:noProof/>
        <w:color w:val="FF0000"/>
        <w:sz w:val="36"/>
        <w:szCs w:val="36"/>
        <w:lang w:val="en-AU" w:eastAsia="en-AU"/>
      </w:rPr>
      <w:tab/>
    </w:r>
    <w:r w:rsidR="00DE1448">
      <w:rPr>
        <w:b/>
        <w:noProof/>
        <w:color w:val="FF0000"/>
        <w:sz w:val="36"/>
        <w:szCs w:val="36"/>
        <w:lang w:val="en-AU" w:eastAsia="en-AU"/>
      </w:rPr>
      <w:tab/>
    </w:r>
  </w:p>
  <w:tbl>
    <w:tblPr>
      <w:tblpPr w:vertAnchor="page" w:horzAnchor="page" w:tblpX="8081" w:tblpY="1957"/>
      <w:tblW w:w="3346" w:type="dxa"/>
      <w:tblLayout w:type="fixed"/>
      <w:tblCellMar>
        <w:left w:w="0" w:type="dxa"/>
        <w:right w:w="0" w:type="dxa"/>
      </w:tblCellMar>
      <w:tblLook w:val="04A0" w:firstRow="1" w:lastRow="0" w:firstColumn="1" w:lastColumn="0" w:noHBand="0" w:noVBand="1"/>
    </w:tblPr>
    <w:tblGrid>
      <w:gridCol w:w="3346"/>
    </w:tblGrid>
    <w:tr w:rsidR="001365C7" w14:paraId="7EFF7A91" w14:textId="77777777" w:rsidTr="006E5994">
      <w:trPr>
        <w:trHeight w:val="142"/>
      </w:trPr>
      <w:tc>
        <w:tcPr>
          <w:tcW w:w="3346" w:type="dxa"/>
        </w:tcPr>
        <w:p w14:paraId="7A2BD7B7" w14:textId="39E40C98" w:rsidR="001365C7" w:rsidRPr="007C2C41" w:rsidRDefault="00CE5784" w:rsidP="00E146D0">
          <w:pPr>
            <w:pStyle w:val="DocDate"/>
            <w:rPr>
              <w:noProof/>
              <w:color w:val="auto"/>
            </w:rPr>
          </w:pPr>
          <w:r>
            <w:rPr>
              <w:color w:val="auto"/>
            </w:rPr>
            <w:t>4</w:t>
          </w:r>
          <w:r w:rsidR="005D2F76" w:rsidRPr="005D2F76">
            <w:rPr>
              <w:color w:val="auto"/>
              <w:vertAlign w:val="superscript"/>
            </w:rPr>
            <w:t>th</w:t>
          </w:r>
          <w:r w:rsidR="005D2F76">
            <w:rPr>
              <w:color w:val="auto"/>
            </w:rPr>
            <w:t xml:space="preserve"> Ju</w:t>
          </w:r>
          <w:r>
            <w:rPr>
              <w:color w:val="auto"/>
            </w:rPr>
            <w:t>ly</w:t>
          </w:r>
          <w:r w:rsidR="006B39B7">
            <w:rPr>
              <w:color w:val="auto"/>
            </w:rPr>
            <w:t xml:space="preserve"> 2019</w:t>
          </w:r>
        </w:p>
      </w:tc>
    </w:tr>
  </w:tbl>
  <w:p w14:paraId="2A0E0CE1" w14:textId="77777777" w:rsidR="00160DAA" w:rsidRDefault="000145B6" w:rsidP="00C624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4pt;height:9.4pt" o:bullet="t">
        <v:imagedata r:id="rId1" o:title="BD10265_"/>
      </v:shape>
    </w:pict>
  </w:numPicBullet>
  <w:abstractNum w:abstractNumId="0" w15:restartNumberingAfterBreak="0">
    <w:nsid w:val="05F704B8"/>
    <w:multiLevelType w:val="hybridMultilevel"/>
    <w:tmpl w:val="AF746730"/>
    <w:lvl w:ilvl="0" w:tplc="3D9CFE5C">
      <w:start w:val="10"/>
      <w:numFmt w:val="bullet"/>
      <w:lvlText w:val="-"/>
      <w:lvlJc w:val="left"/>
      <w:pPr>
        <w:ind w:left="1288" w:hanging="360"/>
      </w:pPr>
      <w:rPr>
        <w:rFonts w:ascii="Arial" w:eastAsia="Arial" w:hAnsi="Arial" w:cs="Arial" w:hint="default"/>
      </w:rPr>
    </w:lvl>
    <w:lvl w:ilvl="1" w:tplc="04090003">
      <w:start w:val="1"/>
      <w:numFmt w:val="bullet"/>
      <w:lvlText w:val="o"/>
      <w:lvlJc w:val="left"/>
      <w:pPr>
        <w:ind w:left="2008" w:hanging="360"/>
      </w:pPr>
      <w:rPr>
        <w:rFonts w:ascii="Courier New" w:hAnsi="Courier New" w:cs="Courier New" w:hint="default"/>
      </w:rPr>
    </w:lvl>
    <w:lvl w:ilvl="2" w:tplc="04090005">
      <w:start w:val="1"/>
      <w:numFmt w:val="bullet"/>
      <w:lvlText w:val=""/>
      <w:lvlJc w:val="left"/>
      <w:pPr>
        <w:ind w:left="2728" w:hanging="360"/>
      </w:pPr>
      <w:rPr>
        <w:rFonts w:ascii="Wingdings" w:hAnsi="Wingdings" w:hint="default"/>
      </w:rPr>
    </w:lvl>
    <w:lvl w:ilvl="3" w:tplc="04090001">
      <w:start w:val="1"/>
      <w:numFmt w:val="bullet"/>
      <w:lvlText w:val=""/>
      <w:lvlJc w:val="left"/>
      <w:pPr>
        <w:ind w:left="3448" w:hanging="360"/>
      </w:pPr>
      <w:rPr>
        <w:rFonts w:ascii="Symbol" w:hAnsi="Symbol" w:hint="default"/>
      </w:rPr>
    </w:lvl>
    <w:lvl w:ilvl="4" w:tplc="04090003">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08C04ED4"/>
    <w:multiLevelType w:val="hybridMultilevel"/>
    <w:tmpl w:val="D7F2FCB6"/>
    <w:lvl w:ilvl="0" w:tplc="C4C4066E">
      <w:start w:val="10"/>
      <w:numFmt w:val="bullet"/>
      <w:lvlText w:val="-"/>
      <w:lvlJc w:val="left"/>
      <w:pPr>
        <w:ind w:left="36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40BCB"/>
    <w:multiLevelType w:val="multilevel"/>
    <w:tmpl w:val="2954EC76"/>
    <w:lvl w:ilvl="0">
      <w:start w:val="1"/>
      <w:numFmt w:val="bullet"/>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2A5471"/>
    <w:multiLevelType w:val="hybridMultilevel"/>
    <w:tmpl w:val="52921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40302B"/>
    <w:multiLevelType w:val="multilevel"/>
    <w:tmpl w:val="4C328472"/>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164660"/>
    <w:multiLevelType w:val="multilevel"/>
    <w:tmpl w:val="26529C46"/>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E40AC9"/>
    <w:multiLevelType w:val="hybridMultilevel"/>
    <w:tmpl w:val="0944B6E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9F0464"/>
    <w:multiLevelType w:val="multilevel"/>
    <w:tmpl w:val="278CAF70"/>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3444F"/>
    <w:multiLevelType w:val="multilevel"/>
    <w:tmpl w:val="7262BB02"/>
    <w:lvl w:ilvl="0">
      <w:start w:val="1"/>
      <w:numFmt w:val="bullet"/>
      <w:pStyle w:val="TableBullet1"/>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253A60"/>
    <w:multiLevelType w:val="multilevel"/>
    <w:tmpl w:val="8EA84EBC"/>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C95262"/>
    <w:multiLevelType w:val="hybridMultilevel"/>
    <w:tmpl w:val="7CB4930A"/>
    <w:lvl w:ilvl="0" w:tplc="95D8F174">
      <w:start w:val="2017"/>
      <w:numFmt w:val="decimal"/>
      <w:lvlText w:val="%1"/>
      <w:lvlJc w:val="left"/>
      <w:pPr>
        <w:ind w:left="462" w:hanging="405"/>
      </w:pPr>
      <w:rPr>
        <w:rFonts w:hint="default"/>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6"/>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5"/>
  </w:num>
  <w:num w:numId="14">
    <w:abstractNumId w:val="9"/>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C6"/>
    <w:rsid w:val="00001AD0"/>
    <w:rsid w:val="00006E9A"/>
    <w:rsid w:val="000100CE"/>
    <w:rsid w:val="0001184B"/>
    <w:rsid w:val="00013C0B"/>
    <w:rsid w:val="000145B6"/>
    <w:rsid w:val="00016529"/>
    <w:rsid w:val="0002198C"/>
    <w:rsid w:val="00024211"/>
    <w:rsid w:val="00025A63"/>
    <w:rsid w:val="00025C07"/>
    <w:rsid w:val="00025CEF"/>
    <w:rsid w:val="000260A7"/>
    <w:rsid w:val="000261D3"/>
    <w:rsid w:val="000263B5"/>
    <w:rsid w:val="0002796A"/>
    <w:rsid w:val="000305D6"/>
    <w:rsid w:val="00030643"/>
    <w:rsid w:val="00031F34"/>
    <w:rsid w:val="00032D3B"/>
    <w:rsid w:val="00033810"/>
    <w:rsid w:val="00040BE4"/>
    <w:rsid w:val="00041453"/>
    <w:rsid w:val="00042115"/>
    <w:rsid w:val="0004343E"/>
    <w:rsid w:val="00050131"/>
    <w:rsid w:val="00051E2D"/>
    <w:rsid w:val="0005743D"/>
    <w:rsid w:val="00057A69"/>
    <w:rsid w:val="00057D26"/>
    <w:rsid w:val="000601A1"/>
    <w:rsid w:val="00061FAE"/>
    <w:rsid w:val="00063414"/>
    <w:rsid w:val="000747E4"/>
    <w:rsid w:val="00074941"/>
    <w:rsid w:val="00085C98"/>
    <w:rsid w:val="00092C9A"/>
    <w:rsid w:val="000A0116"/>
    <w:rsid w:val="000A0C64"/>
    <w:rsid w:val="000A117B"/>
    <w:rsid w:val="000A303E"/>
    <w:rsid w:val="000A49C5"/>
    <w:rsid w:val="000A7363"/>
    <w:rsid w:val="000B02F7"/>
    <w:rsid w:val="000B1837"/>
    <w:rsid w:val="000B46E2"/>
    <w:rsid w:val="000B5962"/>
    <w:rsid w:val="000C18F7"/>
    <w:rsid w:val="000C624E"/>
    <w:rsid w:val="000C6A6E"/>
    <w:rsid w:val="000D0CDE"/>
    <w:rsid w:val="000D31D4"/>
    <w:rsid w:val="000D3903"/>
    <w:rsid w:val="000D43E0"/>
    <w:rsid w:val="000D5CA1"/>
    <w:rsid w:val="000D5CBE"/>
    <w:rsid w:val="000D7B83"/>
    <w:rsid w:val="000E1952"/>
    <w:rsid w:val="000E500A"/>
    <w:rsid w:val="000F511C"/>
    <w:rsid w:val="000F72C6"/>
    <w:rsid w:val="000F7D3E"/>
    <w:rsid w:val="00100267"/>
    <w:rsid w:val="00100AD9"/>
    <w:rsid w:val="0010234E"/>
    <w:rsid w:val="00107C30"/>
    <w:rsid w:val="00113812"/>
    <w:rsid w:val="001170F5"/>
    <w:rsid w:val="00122062"/>
    <w:rsid w:val="00122321"/>
    <w:rsid w:val="00122F87"/>
    <w:rsid w:val="0013083B"/>
    <w:rsid w:val="0013099F"/>
    <w:rsid w:val="001320FB"/>
    <w:rsid w:val="00134C55"/>
    <w:rsid w:val="001410C9"/>
    <w:rsid w:val="00141D63"/>
    <w:rsid w:val="00142FB1"/>
    <w:rsid w:val="00144CBC"/>
    <w:rsid w:val="00155702"/>
    <w:rsid w:val="00164AB7"/>
    <w:rsid w:val="00166AC2"/>
    <w:rsid w:val="00166B76"/>
    <w:rsid w:val="00176484"/>
    <w:rsid w:val="00176E7E"/>
    <w:rsid w:val="0018000D"/>
    <w:rsid w:val="001804E1"/>
    <w:rsid w:val="001873FD"/>
    <w:rsid w:val="001877BE"/>
    <w:rsid w:val="001902ED"/>
    <w:rsid w:val="00193D27"/>
    <w:rsid w:val="00196E08"/>
    <w:rsid w:val="001A169C"/>
    <w:rsid w:val="001A2A45"/>
    <w:rsid w:val="001B0148"/>
    <w:rsid w:val="001B1F5F"/>
    <w:rsid w:val="001B3CF6"/>
    <w:rsid w:val="001B6B0F"/>
    <w:rsid w:val="001C19F2"/>
    <w:rsid w:val="001C42B3"/>
    <w:rsid w:val="001C4E66"/>
    <w:rsid w:val="001C50D6"/>
    <w:rsid w:val="001D1A22"/>
    <w:rsid w:val="001D32E4"/>
    <w:rsid w:val="001D3B61"/>
    <w:rsid w:val="001D527A"/>
    <w:rsid w:val="001E05B1"/>
    <w:rsid w:val="001E31C4"/>
    <w:rsid w:val="001E3E6B"/>
    <w:rsid w:val="001E434E"/>
    <w:rsid w:val="001E6114"/>
    <w:rsid w:val="001F089C"/>
    <w:rsid w:val="001F2D5C"/>
    <w:rsid w:val="001F656E"/>
    <w:rsid w:val="0020002B"/>
    <w:rsid w:val="00201978"/>
    <w:rsid w:val="00205710"/>
    <w:rsid w:val="0020677C"/>
    <w:rsid w:val="00206F01"/>
    <w:rsid w:val="002070B3"/>
    <w:rsid w:val="00212B3C"/>
    <w:rsid w:val="00214389"/>
    <w:rsid w:val="00220D5D"/>
    <w:rsid w:val="002213B1"/>
    <w:rsid w:val="00221823"/>
    <w:rsid w:val="00234F4E"/>
    <w:rsid w:val="002431DA"/>
    <w:rsid w:val="00245012"/>
    <w:rsid w:val="002461C7"/>
    <w:rsid w:val="002464F2"/>
    <w:rsid w:val="0025282E"/>
    <w:rsid w:val="002542EA"/>
    <w:rsid w:val="00257D1F"/>
    <w:rsid w:val="00257D23"/>
    <w:rsid w:val="00264A73"/>
    <w:rsid w:val="0026593E"/>
    <w:rsid w:val="00265F8B"/>
    <w:rsid w:val="00270A3E"/>
    <w:rsid w:val="0027744B"/>
    <w:rsid w:val="00283496"/>
    <w:rsid w:val="00286273"/>
    <w:rsid w:val="002866D6"/>
    <w:rsid w:val="002929CC"/>
    <w:rsid w:val="002A5E0E"/>
    <w:rsid w:val="002A650C"/>
    <w:rsid w:val="002A6703"/>
    <w:rsid w:val="002B14FB"/>
    <w:rsid w:val="002B1674"/>
    <w:rsid w:val="002B3FE1"/>
    <w:rsid w:val="002B52CE"/>
    <w:rsid w:val="002C1E35"/>
    <w:rsid w:val="002C712A"/>
    <w:rsid w:val="002D2F39"/>
    <w:rsid w:val="002D4C3D"/>
    <w:rsid w:val="002D67EC"/>
    <w:rsid w:val="002E0727"/>
    <w:rsid w:val="002E31B1"/>
    <w:rsid w:val="002F0964"/>
    <w:rsid w:val="002F16A1"/>
    <w:rsid w:val="00300373"/>
    <w:rsid w:val="003021E4"/>
    <w:rsid w:val="00302B23"/>
    <w:rsid w:val="003031C1"/>
    <w:rsid w:val="0030639B"/>
    <w:rsid w:val="00316A24"/>
    <w:rsid w:val="00322953"/>
    <w:rsid w:val="00325CD8"/>
    <w:rsid w:val="0033189C"/>
    <w:rsid w:val="003357BC"/>
    <w:rsid w:val="003375B9"/>
    <w:rsid w:val="00337EB0"/>
    <w:rsid w:val="00341D03"/>
    <w:rsid w:val="00343508"/>
    <w:rsid w:val="00344BE9"/>
    <w:rsid w:val="00356724"/>
    <w:rsid w:val="00357D98"/>
    <w:rsid w:val="00360079"/>
    <w:rsid w:val="00365B00"/>
    <w:rsid w:val="0037061A"/>
    <w:rsid w:val="00371365"/>
    <w:rsid w:val="00375800"/>
    <w:rsid w:val="00377B09"/>
    <w:rsid w:val="00380A51"/>
    <w:rsid w:val="00382660"/>
    <w:rsid w:val="00382827"/>
    <w:rsid w:val="00382FF7"/>
    <w:rsid w:val="00384F44"/>
    <w:rsid w:val="0039048E"/>
    <w:rsid w:val="00390F5F"/>
    <w:rsid w:val="003A612C"/>
    <w:rsid w:val="003B23A9"/>
    <w:rsid w:val="003B2B4D"/>
    <w:rsid w:val="003B3BC5"/>
    <w:rsid w:val="003B41F3"/>
    <w:rsid w:val="003C2D92"/>
    <w:rsid w:val="003C44A0"/>
    <w:rsid w:val="003D0FF4"/>
    <w:rsid w:val="003D13EF"/>
    <w:rsid w:val="003D33EB"/>
    <w:rsid w:val="003D5634"/>
    <w:rsid w:val="003D64DD"/>
    <w:rsid w:val="003D6CB2"/>
    <w:rsid w:val="003D7C1C"/>
    <w:rsid w:val="003D7CC3"/>
    <w:rsid w:val="003E116C"/>
    <w:rsid w:val="003E33CF"/>
    <w:rsid w:val="003F32F2"/>
    <w:rsid w:val="003F3F9D"/>
    <w:rsid w:val="003F52F8"/>
    <w:rsid w:val="003F5E88"/>
    <w:rsid w:val="003F700C"/>
    <w:rsid w:val="00404DE3"/>
    <w:rsid w:val="004066E9"/>
    <w:rsid w:val="004124A6"/>
    <w:rsid w:val="00412597"/>
    <w:rsid w:val="00414DAB"/>
    <w:rsid w:val="00421895"/>
    <w:rsid w:val="00422CF1"/>
    <w:rsid w:val="00425841"/>
    <w:rsid w:val="004328C6"/>
    <w:rsid w:val="00432CA1"/>
    <w:rsid w:val="0043419E"/>
    <w:rsid w:val="004348E8"/>
    <w:rsid w:val="00435801"/>
    <w:rsid w:val="00442AF3"/>
    <w:rsid w:val="00447542"/>
    <w:rsid w:val="0045778E"/>
    <w:rsid w:val="004614DB"/>
    <w:rsid w:val="00461A5E"/>
    <w:rsid w:val="004626DE"/>
    <w:rsid w:val="004630DD"/>
    <w:rsid w:val="00463751"/>
    <w:rsid w:val="004662F8"/>
    <w:rsid w:val="00466B60"/>
    <w:rsid w:val="004759D7"/>
    <w:rsid w:val="00477A60"/>
    <w:rsid w:val="00496EDD"/>
    <w:rsid w:val="004A22C5"/>
    <w:rsid w:val="004A2F84"/>
    <w:rsid w:val="004B2291"/>
    <w:rsid w:val="004B246B"/>
    <w:rsid w:val="004B47BB"/>
    <w:rsid w:val="004B7A0B"/>
    <w:rsid w:val="004C0EFD"/>
    <w:rsid w:val="004C27E9"/>
    <w:rsid w:val="004C3042"/>
    <w:rsid w:val="004C31D3"/>
    <w:rsid w:val="004D02E6"/>
    <w:rsid w:val="004D2EBC"/>
    <w:rsid w:val="004D583E"/>
    <w:rsid w:val="004E1F20"/>
    <w:rsid w:val="004E79B1"/>
    <w:rsid w:val="004F41B9"/>
    <w:rsid w:val="004F5245"/>
    <w:rsid w:val="004F72E0"/>
    <w:rsid w:val="004F7E95"/>
    <w:rsid w:val="00502CE6"/>
    <w:rsid w:val="00505E30"/>
    <w:rsid w:val="00507372"/>
    <w:rsid w:val="00513A22"/>
    <w:rsid w:val="005149A9"/>
    <w:rsid w:val="005159D7"/>
    <w:rsid w:val="00515E51"/>
    <w:rsid w:val="005262F9"/>
    <w:rsid w:val="005304A8"/>
    <w:rsid w:val="0053074E"/>
    <w:rsid w:val="00534B64"/>
    <w:rsid w:val="00534BA1"/>
    <w:rsid w:val="005369B9"/>
    <w:rsid w:val="005409DB"/>
    <w:rsid w:val="00541C74"/>
    <w:rsid w:val="00543A67"/>
    <w:rsid w:val="00547FC6"/>
    <w:rsid w:val="0055300B"/>
    <w:rsid w:val="00561E5B"/>
    <w:rsid w:val="005634AB"/>
    <w:rsid w:val="00564ABE"/>
    <w:rsid w:val="00565941"/>
    <w:rsid w:val="005678F7"/>
    <w:rsid w:val="00572D47"/>
    <w:rsid w:val="00577079"/>
    <w:rsid w:val="00582413"/>
    <w:rsid w:val="00582D07"/>
    <w:rsid w:val="0058427F"/>
    <w:rsid w:val="00584936"/>
    <w:rsid w:val="005851AE"/>
    <w:rsid w:val="00585D50"/>
    <w:rsid w:val="00590A38"/>
    <w:rsid w:val="00596786"/>
    <w:rsid w:val="005A51BF"/>
    <w:rsid w:val="005A5D8A"/>
    <w:rsid w:val="005A6A6B"/>
    <w:rsid w:val="005B3AEA"/>
    <w:rsid w:val="005C2B93"/>
    <w:rsid w:val="005D0E25"/>
    <w:rsid w:val="005D151C"/>
    <w:rsid w:val="005D2F76"/>
    <w:rsid w:val="005D3A54"/>
    <w:rsid w:val="005D4F1E"/>
    <w:rsid w:val="005D5F7A"/>
    <w:rsid w:val="005D6960"/>
    <w:rsid w:val="005D6DF5"/>
    <w:rsid w:val="005E0C84"/>
    <w:rsid w:val="005E20C7"/>
    <w:rsid w:val="005E23A8"/>
    <w:rsid w:val="005E422A"/>
    <w:rsid w:val="005E5375"/>
    <w:rsid w:val="005E7825"/>
    <w:rsid w:val="005F0C65"/>
    <w:rsid w:val="005F1DE0"/>
    <w:rsid w:val="005F3362"/>
    <w:rsid w:val="00606EA3"/>
    <w:rsid w:val="006076ED"/>
    <w:rsid w:val="00612A2C"/>
    <w:rsid w:val="00613F10"/>
    <w:rsid w:val="00614D6E"/>
    <w:rsid w:val="00620F42"/>
    <w:rsid w:val="0062368A"/>
    <w:rsid w:val="00623A3A"/>
    <w:rsid w:val="00624BB9"/>
    <w:rsid w:val="006255B1"/>
    <w:rsid w:val="00626B5C"/>
    <w:rsid w:val="00631156"/>
    <w:rsid w:val="00636B62"/>
    <w:rsid w:val="0063762E"/>
    <w:rsid w:val="0064502D"/>
    <w:rsid w:val="00645289"/>
    <w:rsid w:val="006456A9"/>
    <w:rsid w:val="00650A2E"/>
    <w:rsid w:val="00651CB3"/>
    <w:rsid w:val="00654DB4"/>
    <w:rsid w:val="00655A6D"/>
    <w:rsid w:val="00656ADB"/>
    <w:rsid w:val="00660141"/>
    <w:rsid w:val="006614BD"/>
    <w:rsid w:val="00665C29"/>
    <w:rsid w:val="006711E1"/>
    <w:rsid w:val="00672357"/>
    <w:rsid w:val="006812DD"/>
    <w:rsid w:val="006862D3"/>
    <w:rsid w:val="00687055"/>
    <w:rsid w:val="00687299"/>
    <w:rsid w:val="0068743E"/>
    <w:rsid w:val="006901EE"/>
    <w:rsid w:val="00693A42"/>
    <w:rsid w:val="006968B7"/>
    <w:rsid w:val="006A19EB"/>
    <w:rsid w:val="006A6F48"/>
    <w:rsid w:val="006B39B7"/>
    <w:rsid w:val="006B3E8C"/>
    <w:rsid w:val="006B70AD"/>
    <w:rsid w:val="006C1398"/>
    <w:rsid w:val="006C1A52"/>
    <w:rsid w:val="006D4603"/>
    <w:rsid w:val="006D5B5B"/>
    <w:rsid w:val="006D6794"/>
    <w:rsid w:val="006D6F65"/>
    <w:rsid w:val="006E00E4"/>
    <w:rsid w:val="006E2743"/>
    <w:rsid w:val="006E734A"/>
    <w:rsid w:val="006E7729"/>
    <w:rsid w:val="006F4145"/>
    <w:rsid w:val="006F5229"/>
    <w:rsid w:val="00700360"/>
    <w:rsid w:val="00702B6D"/>
    <w:rsid w:val="00707ED7"/>
    <w:rsid w:val="00711DEC"/>
    <w:rsid w:val="00713E8B"/>
    <w:rsid w:val="007165EF"/>
    <w:rsid w:val="00716937"/>
    <w:rsid w:val="00717076"/>
    <w:rsid w:val="007171E6"/>
    <w:rsid w:val="00721228"/>
    <w:rsid w:val="007310D4"/>
    <w:rsid w:val="0073161D"/>
    <w:rsid w:val="00735A94"/>
    <w:rsid w:val="00736F21"/>
    <w:rsid w:val="0074214D"/>
    <w:rsid w:val="00743E11"/>
    <w:rsid w:val="00746A3D"/>
    <w:rsid w:val="00746B35"/>
    <w:rsid w:val="00750051"/>
    <w:rsid w:val="00752E23"/>
    <w:rsid w:val="00754F5D"/>
    <w:rsid w:val="00767F73"/>
    <w:rsid w:val="00771BA2"/>
    <w:rsid w:val="00773949"/>
    <w:rsid w:val="00773CAA"/>
    <w:rsid w:val="00776F25"/>
    <w:rsid w:val="00781253"/>
    <w:rsid w:val="0078301B"/>
    <w:rsid w:val="00787DC9"/>
    <w:rsid w:val="007B40FB"/>
    <w:rsid w:val="007B7197"/>
    <w:rsid w:val="007B77E2"/>
    <w:rsid w:val="007C2AE9"/>
    <w:rsid w:val="007C2C41"/>
    <w:rsid w:val="007C71D7"/>
    <w:rsid w:val="007D7CBB"/>
    <w:rsid w:val="007E4F77"/>
    <w:rsid w:val="007E5F78"/>
    <w:rsid w:val="007F0F77"/>
    <w:rsid w:val="007F4F83"/>
    <w:rsid w:val="0081553A"/>
    <w:rsid w:val="008175AF"/>
    <w:rsid w:val="008212B4"/>
    <w:rsid w:val="00821F9D"/>
    <w:rsid w:val="00823D34"/>
    <w:rsid w:val="0082613B"/>
    <w:rsid w:val="008274EC"/>
    <w:rsid w:val="00833250"/>
    <w:rsid w:val="00835977"/>
    <w:rsid w:val="008401DA"/>
    <w:rsid w:val="00840DE6"/>
    <w:rsid w:val="008412C2"/>
    <w:rsid w:val="00847768"/>
    <w:rsid w:val="00855717"/>
    <w:rsid w:val="00857197"/>
    <w:rsid w:val="00864110"/>
    <w:rsid w:val="0086650F"/>
    <w:rsid w:val="00866CED"/>
    <w:rsid w:val="00871749"/>
    <w:rsid w:val="008720A6"/>
    <w:rsid w:val="008769D7"/>
    <w:rsid w:val="008776A6"/>
    <w:rsid w:val="00881152"/>
    <w:rsid w:val="00881F8C"/>
    <w:rsid w:val="00881FC5"/>
    <w:rsid w:val="0088244F"/>
    <w:rsid w:val="0088581B"/>
    <w:rsid w:val="00893A22"/>
    <w:rsid w:val="008960AA"/>
    <w:rsid w:val="00897BD4"/>
    <w:rsid w:val="008A0F56"/>
    <w:rsid w:val="008A4AA6"/>
    <w:rsid w:val="008B3793"/>
    <w:rsid w:val="008B55E9"/>
    <w:rsid w:val="008B6E4D"/>
    <w:rsid w:val="008C4554"/>
    <w:rsid w:val="008D3ADE"/>
    <w:rsid w:val="008D7FC0"/>
    <w:rsid w:val="008E0DB9"/>
    <w:rsid w:val="008F07BA"/>
    <w:rsid w:val="008F5935"/>
    <w:rsid w:val="008F74E8"/>
    <w:rsid w:val="008F7595"/>
    <w:rsid w:val="00900598"/>
    <w:rsid w:val="00902464"/>
    <w:rsid w:val="009036E7"/>
    <w:rsid w:val="00907F80"/>
    <w:rsid w:val="009126C0"/>
    <w:rsid w:val="0092342A"/>
    <w:rsid w:val="009268A3"/>
    <w:rsid w:val="0093373F"/>
    <w:rsid w:val="0093594D"/>
    <w:rsid w:val="00941E75"/>
    <w:rsid w:val="009427EF"/>
    <w:rsid w:val="009445AB"/>
    <w:rsid w:val="009454BE"/>
    <w:rsid w:val="00947E67"/>
    <w:rsid w:val="00950CB2"/>
    <w:rsid w:val="00955CF2"/>
    <w:rsid w:val="00956739"/>
    <w:rsid w:val="00964C03"/>
    <w:rsid w:val="00966FF9"/>
    <w:rsid w:val="009754F5"/>
    <w:rsid w:val="009760F2"/>
    <w:rsid w:val="00987B9D"/>
    <w:rsid w:val="00987BD0"/>
    <w:rsid w:val="009915B5"/>
    <w:rsid w:val="00993602"/>
    <w:rsid w:val="009A2473"/>
    <w:rsid w:val="009A385C"/>
    <w:rsid w:val="009A3A50"/>
    <w:rsid w:val="009A5C47"/>
    <w:rsid w:val="009B0E8C"/>
    <w:rsid w:val="009B15CB"/>
    <w:rsid w:val="009C073C"/>
    <w:rsid w:val="009C379B"/>
    <w:rsid w:val="009C661D"/>
    <w:rsid w:val="009D3FE4"/>
    <w:rsid w:val="009D5FC6"/>
    <w:rsid w:val="009D6D9A"/>
    <w:rsid w:val="009D7452"/>
    <w:rsid w:val="009E10C2"/>
    <w:rsid w:val="009E4375"/>
    <w:rsid w:val="009F1537"/>
    <w:rsid w:val="009F3A53"/>
    <w:rsid w:val="009F559D"/>
    <w:rsid w:val="00A03212"/>
    <w:rsid w:val="00A15070"/>
    <w:rsid w:val="00A154D3"/>
    <w:rsid w:val="00A310AF"/>
    <w:rsid w:val="00A41B62"/>
    <w:rsid w:val="00A43DA7"/>
    <w:rsid w:val="00A507FC"/>
    <w:rsid w:val="00A53422"/>
    <w:rsid w:val="00A552E5"/>
    <w:rsid w:val="00A60F11"/>
    <w:rsid w:val="00A62153"/>
    <w:rsid w:val="00A64ECA"/>
    <w:rsid w:val="00A708C7"/>
    <w:rsid w:val="00A75BE7"/>
    <w:rsid w:val="00A96D2E"/>
    <w:rsid w:val="00A972F9"/>
    <w:rsid w:val="00AA1C66"/>
    <w:rsid w:val="00AA48FA"/>
    <w:rsid w:val="00AA49E8"/>
    <w:rsid w:val="00AA5488"/>
    <w:rsid w:val="00AB3EDE"/>
    <w:rsid w:val="00AB6BB3"/>
    <w:rsid w:val="00AB6EB6"/>
    <w:rsid w:val="00AC11C8"/>
    <w:rsid w:val="00AC1A08"/>
    <w:rsid w:val="00AC6920"/>
    <w:rsid w:val="00AD5341"/>
    <w:rsid w:val="00AD5896"/>
    <w:rsid w:val="00AE0664"/>
    <w:rsid w:val="00AE716C"/>
    <w:rsid w:val="00AF1BD7"/>
    <w:rsid w:val="00AF528B"/>
    <w:rsid w:val="00B00A92"/>
    <w:rsid w:val="00B05260"/>
    <w:rsid w:val="00B06125"/>
    <w:rsid w:val="00B06E05"/>
    <w:rsid w:val="00B11A58"/>
    <w:rsid w:val="00B121A3"/>
    <w:rsid w:val="00B147AE"/>
    <w:rsid w:val="00B15BD6"/>
    <w:rsid w:val="00B177AA"/>
    <w:rsid w:val="00B22552"/>
    <w:rsid w:val="00B244B6"/>
    <w:rsid w:val="00B246D1"/>
    <w:rsid w:val="00B314E9"/>
    <w:rsid w:val="00B417C3"/>
    <w:rsid w:val="00B42EDD"/>
    <w:rsid w:val="00B42F0F"/>
    <w:rsid w:val="00B437F3"/>
    <w:rsid w:val="00B54A70"/>
    <w:rsid w:val="00B5735E"/>
    <w:rsid w:val="00B57AF0"/>
    <w:rsid w:val="00B61B91"/>
    <w:rsid w:val="00B66C83"/>
    <w:rsid w:val="00B72468"/>
    <w:rsid w:val="00B75652"/>
    <w:rsid w:val="00B81713"/>
    <w:rsid w:val="00B821AA"/>
    <w:rsid w:val="00B84331"/>
    <w:rsid w:val="00B85340"/>
    <w:rsid w:val="00B86478"/>
    <w:rsid w:val="00B900A6"/>
    <w:rsid w:val="00B9319B"/>
    <w:rsid w:val="00B931DA"/>
    <w:rsid w:val="00BA15F4"/>
    <w:rsid w:val="00BA1A6C"/>
    <w:rsid w:val="00BA346E"/>
    <w:rsid w:val="00BA3D97"/>
    <w:rsid w:val="00BA5A1D"/>
    <w:rsid w:val="00BA6F96"/>
    <w:rsid w:val="00BA79C6"/>
    <w:rsid w:val="00BA7EBF"/>
    <w:rsid w:val="00BB105E"/>
    <w:rsid w:val="00BB316D"/>
    <w:rsid w:val="00BB36E5"/>
    <w:rsid w:val="00BB5CDB"/>
    <w:rsid w:val="00BC6F98"/>
    <w:rsid w:val="00BC6FE4"/>
    <w:rsid w:val="00BD2B03"/>
    <w:rsid w:val="00BD46F7"/>
    <w:rsid w:val="00BD47B6"/>
    <w:rsid w:val="00BE0930"/>
    <w:rsid w:val="00BE365B"/>
    <w:rsid w:val="00BE5D35"/>
    <w:rsid w:val="00BF15E9"/>
    <w:rsid w:val="00BF55D8"/>
    <w:rsid w:val="00BF6276"/>
    <w:rsid w:val="00BF6541"/>
    <w:rsid w:val="00BF69F8"/>
    <w:rsid w:val="00BF7AC1"/>
    <w:rsid w:val="00BF7E25"/>
    <w:rsid w:val="00C04833"/>
    <w:rsid w:val="00C219A9"/>
    <w:rsid w:val="00C236A2"/>
    <w:rsid w:val="00C242F5"/>
    <w:rsid w:val="00C31133"/>
    <w:rsid w:val="00C327FD"/>
    <w:rsid w:val="00C32943"/>
    <w:rsid w:val="00C32AD5"/>
    <w:rsid w:val="00C36FDD"/>
    <w:rsid w:val="00C40677"/>
    <w:rsid w:val="00C440B2"/>
    <w:rsid w:val="00C4477D"/>
    <w:rsid w:val="00C47467"/>
    <w:rsid w:val="00C50088"/>
    <w:rsid w:val="00C5298F"/>
    <w:rsid w:val="00C566D1"/>
    <w:rsid w:val="00C6166F"/>
    <w:rsid w:val="00C6248C"/>
    <w:rsid w:val="00C62E28"/>
    <w:rsid w:val="00C63D2D"/>
    <w:rsid w:val="00C644C2"/>
    <w:rsid w:val="00C64858"/>
    <w:rsid w:val="00C7018E"/>
    <w:rsid w:val="00C712BD"/>
    <w:rsid w:val="00C72ED1"/>
    <w:rsid w:val="00C7787D"/>
    <w:rsid w:val="00C93490"/>
    <w:rsid w:val="00C97CE4"/>
    <w:rsid w:val="00CA024C"/>
    <w:rsid w:val="00CA09DA"/>
    <w:rsid w:val="00CA20E5"/>
    <w:rsid w:val="00CA4170"/>
    <w:rsid w:val="00CA4FC4"/>
    <w:rsid w:val="00CA53E7"/>
    <w:rsid w:val="00CA7ECB"/>
    <w:rsid w:val="00CB095F"/>
    <w:rsid w:val="00CB1AFA"/>
    <w:rsid w:val="00CB44D5"/>
    <w:rsid w:val="00CB5081"/>
    <w:rsid w:val="00CB74DA"/>
    <w:rsid w:val="00CC0559"/>
    <w:rsid w:val="00CC39CD"/>
    <w:rsid w:val="00CC6C09"/>
    <w:rsid w:val="00CD1B70"/>
    <w:rsid w:val="00CD53C8"/>
    <w:rsid w:val="00CD6CAA"/>
    <w:rsid w:val="00CD7F16"/>
    <w:rsid w:val="00CE447B"/>
    <w:rsid w:val="00CE5784"/>
    <w:rsid w:val="00CF0075"/>
    <w:rsid w:val="00CF10FB"/>
    <w:rsid w:val="00D001C5"/>
    <w:rsid w:val="00D00721"/>
    <w:rsid w:val="00D01CB0"/>
    <w:rsid w:val="00D01FEB"/>
    <w:rsid w:val="00D03A14"/>
    <w:rsid w:val="00D07CD2"/>
    <w:rsid w:val="00D1778B"/>
    <w:rsid w:val="00D22249"/>
    <w:rsid w:val="00D34B52"/>
    <w:rsid w:val="00D36DC4"/>
    <w:rsid w:val="00D37F67"/>
    <w:rsid w:val="00D50547"/>
    <w:rsid w:val="00D517E5"/>
    <w:rsid w:val="00D52AE2"/>
    <w:rsid w:val="00D563D9"/>
    <w:rsid w:val="00D57C44"/>
    <w:rsid w:val="00D61A43"/>
    <w:rsid w:val="00D651D7"/>
    <w:rsid w:val="00D676EF"/>
    <w:rsid w:val="00D853E3"/>
    <w:rsid w:val="00D94132"/>
    <w:rsid w:val="00D94FD0"/>
    <w:rsid w:val="00D9593F"/>
    <w:rsid w:val="00DA120A"/>
    <w:rsid w:val="00DA1C79"/>
    <w:rsid w:val="00DA27BE"/>
    <w:rsid w:val="00DA7509"/>
    <w:rsid w:val="00DA788A"/>
    <w:rsid w:val="00DB1C8F"/>
    <w:rsid w:val="00DB2850"/>
    <w:rsid w:val="00DB2C91"/>
    <w:rsid w:val="00DB34C7"/>
    <w:rsid w:val="00DC1F77"/>
    <w:rsid w:val="00DC21E1"/>
    <w:rsid w:val="00DC247A"/>
    <w:rsid w:val="00DC3EA0"/>
    <w:rsid w:val="00DC40E2"/>
    <w:rsid w:val="00DC4F50"/>
    <w:rsid w:val="00DC7CCD"/>
    <w:rsid w:val="00DD11C2"/>
    <w:rsid w:val="00DD16AF"/>
    <w:rsid w:val="00DD3B11"/>
    <w:rsid w:val="00DD7A81"/>
    <w:rsid w:val="00DE1448"/>
    <w:rsid w:val="00DE1E94"/>
    <w:rsid w:val="00DE23B8"/>
    <w:rsid w:val="00DE3E9E"/>
    <w:rsid w:val="00DF026E"/>
    <w:rsid w:val="00DF606A"/>
    <w:rsid w:val="00E01754"/>
    <w:rsid w:val="00E027E9"/>
    <w:rsid w:val="00E027F0"/>
    <w:rsid w:val="00E07E45"/>
    <w:rsid w:val="00E1333B"/>
    <w:rsid w:val="00E146D0"/>
    <w:rsid w:val="00E162CD"/>
    <w:rsid w:val="00E16735"/>
    <w:rsid w:val="00E17B7B"/>
    <w:rsid w:val="00E231ED"/>
    <w:rsid w:val="00E24422"/>
    <w:rsid w:val="00E26F68"/>
    <w:rsid w:val="00E309F2"/>
    <w:rsid w:val="00E3477F"/>
    <w:rsid w:val="00E35089"/>
    <w:rsid w:val="00E3519E"/>
    <w:rsid w:val="00E3611A"/>
    <w:rsid w:val="00E42A62"/>
    <w:rsid w:val="00E43645"/>
    <w:rsid w:val="00E46FAA"/>
    <w:rsid w:val="00E52661"/>
    <w:rsid w:val="00E532EE"/>
    <w:rsid w:val="00E55650"/>
    <w:rsid w:val="00E57748"/>
    <w:rsid w:val="00E73D9B"/>
    <w:rsid w:val="00E751D8"/>
    <w:rsid w:val="00E82380"/>
    <w:rsid w:val="00E8279E"/>
    <w:rsid w:val="00E83B8A"/>
    <w:rsid w:val="00E8665F"/>
    <w:rsid w:val="00E91500"/>
    <w:rsid w:val="00E926CC"/>
    <w:rsid w:val="00E9374A"/>
    <w:rsid w:val="00E955CE"/>
    <w:rsid w:val="00EA0007"/>
    <w:rsid w:val="00EA03DB"/>
    <w:rsid w:val="00EA47D5"/>
    <w:rsid w:val="00EB7E08"/>
    <w:rsid w:val="00EC1DC1"/>
    <w:rsid w:val="00EC2B72"/>
    <w:rsid w:val="00EC461B"/>
    <w:rsid w:val="00EC4B1A"/>
    <w:rsid w:val="00ED007E"/>
    <w:rsid w:val="00ED4439"/>
    <w:rsid w:val="00ED4AEB"/>
    <w:rsid w:val="00ED5CF6"/>
    <w:rsid w:val="00EE11AE"/>
    <w:rsid w:val="00EE2AC5"/>
    <w:rsid w:val="00EE3A50"/>
    <w:rsid w:val="00EE7405"/>
    <w:rsid w:val="00EF4733"/>
    <w:rsid w:val="00EF47C7"/>
    <w:rsid w:val="00EF718C"/>
    <w:rsid w:val="00EF78EE"/>
    <w:rsid w:val="00F00F17"/>
    <w:rsid w:val="00F018BD"/>
    <w:rsid w:val="00F03470"/>
    <w:rsid w:val="00F063E8"/>
    <w:rsid w:val="00F120B9"/>
    <w:rsid w:val="00F12E45"/>
    <w:rsid w:val="00F232AC"/>
    <w:rsid w:val="00F416EF"/>
    <w:rsid w:val="00F42DF9"/>
    <w:rsid w:val="00F451C9"/>
    <w:rsid w:val="00F504C9"/>
    <w:rsid w:val="00F5328F"/>
    <w:rsid w:val="00F560FB"/>
    <w:rsid w:val="00F57821"/>
    <w:rsid w:val="00F5785E"/>
    <w:rsid w:val="00F60522"/>
    <w:rsid w:val="00F65B76"/>
    <w:rsid w:val="00F736DD"/>
    <w:rsid w:val="00F75138"/>
    <w:rsid w:val="00F761AD"/>
    <w:rsid w:val="00F814DB"/>
    <w:rsid w:val="00F830B9"/>
    <w:rsid w:val="00F8392F"/>
    <w:rsid w:val="00F84D68"/>
    <w:rsid w:val="00F86BC2"/>
    <w:rsid w:val="00F90E51"/>
    <w:rsid w:val="00F9377F"/>
    <w:rsid w:val="00FA0FCC"/>
    <w:rsid w:val="00FA355E"/>
    <w:rsid w:val="00FA616C"/>
    <w:rsid w:val="00FB0E2B"/>
    <w:rsid w:val="00FB2DFC"/>
    <w:rsid w:val="00FB5788"/>
    <w:rsid w:val="00FB76B2"/>
    <w:rsid w:val="00FD315E"/>
    <w:rsid w:val="00FD3C1D"/>
    <w:rsid w:val="00FD443C"/>
    <w:rsid w:val="00FF079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790A4"/>
  <w15:docId w15:val="{3AC88522-550B-434C-A458-0BF2708F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Heading"/>
    <w:basedOn w:val="Normal"/>
    <w:next w:val="Normal"/>
    <w:link w:val="Heading1Char"/>
    <w:uiPriority w:val="9"/>
    <w:qFormat/>
    <w:rsid w:val="009D5FC6"/>
    <w:pPr>
      <w:keepNext/>
      <w:pBdr>
        <w:bottom w:val="single" w:sz="8" w:space="3" w:color="4F81BD" w:themeColor="accent1"/>
      </w:pBdr>
      <w:spacing w:before="360" w:after="240" w:line="240" w:lineRule="auto"/>
      <w:outlineLvl w:val="0"/>
    </w:pPr>
    <w:rPr>
      <w:rFonts w:asciiTheme="majorHAnsi" w:hAnsiTheme="majorHAnsi" w:cstheme="majorHAnsi"/>
      <w:b/>
      <w:kern w:val="14"/>
      <w:sz w:val="30"/>
      <w:szCs w:val="18"/>
      <w:lang w:val="en-GB"/>
    </w:rPr>
  </w:style>
  <w:style w:type="paragraph" w:styleId="Heading2">
    <w:name w:val="heading 2"/>
    <w:aliases w:val="~SubHeading"/>
    <w:basedOn w:val="Heading1"/>
    <w:next w:val="Normal"/>
    <w:link w:val="Heading2Char"/>
    <w:uiPriority w:val="9"/>
    <w:unhideWhenUsed/>
    <w:qFormat/>
    <w:rsid w:val="009D5FC6"/>
    <w:pPr>
      <w:numPr>
        <w:ilvl w:val="1"/>
      </w:numPr>
      <w:pBdr>
        <w:bottom w:val="none" w:sz="0" w:space="0" w:color="auto"/>
      </w:pBdr>
      <w:spacing w:before="240" w:after="120"/>
      <w:outlineLvl w:val="1"/>
    </w:pPr>
    <w:rPr>
      <w:sz w:val="26"/>
    </w:rPr>
  </w:style>
  <w:style w:type="paragraph" w:styleId="Heading3">
    <w:name w:val="heading 3"/>
    <w:basedOn w:val="Normal"/>
    <w:next w:val="Normal"/>
    <w:link w:val="Heading3Char"/>
    <w:uiPriority w:val="9"/>
    <w:semiHidden/>
    <w:unhideWhenUsed/>
    <w:qFormat/>
    <w:rsid w:val="007C2A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9"/>
    <w:rsid w:val="009D5FC6"/>
    <w:rPr>
      <w:rFonts w:asciiTheme="majorHAnsi" w:hAnsiTheme="majorHAnsi" w:cstheme="majorHAnsi"/>
      <w:b/>
      <w:kern w:val="14"/>
      <w:sz w:val="30"/>
      <w:szCs w:val="18"/>
      <w:lang w:val="en-GB"/>
    </w:rPr>
  </w:style>
  <w:style w:type="character" w:customStyle="1" w:styleId="Heading2Char">
    <w:name w:val="Heading 2 Char"/>
    <w:aliases w:val="~SubHeading Char"/>
    <w:basedOn w:val="DefaultParagraphFont"/>
    <w:link w:val="Heading2"/>
    <w:uiPriority w:val="9"/>
    <w:rsid w:val="009D5FC6"/>
    <w:rPr>
      <w:rFonts w:asciiTheme="majorHAnsi" w:hAnsiTheme="majorHAnsi" w:cstheme="majorHAnsi"/>
      <w:b/>
      <w:kern w:val="14"/>
      <w:sz w:val="26"/>
      <w:szCs w:val="18"/>
      <w:lang w:val="en-GB"/>
    </w:rPr>
  </w:style>
  <w:style w:type="table" w:styleId="TableGrid">
    <w:name w:val="Table Grid"/>
    <w:basedOn w:val="TableNormal"/>
    <w:uiPriority w:val="59"/>
    <w:rsid w:val="009D5FC6"/>
    <w:pPr>
      <w:spacing w:after="0" w:line="240" w:lineRule="auto"/>
    </w:pPr>
    <w:rPr>
      <w:rFonts w:asciiTheme="majorHAnsi" w:hAnsiTheme="majorHAnsi" w:cstheme="majorHAnsi"/>
      <w:color w:val="000000" w:themeColor="text1"/>
      <w:kern w:val="14"/>
      <w:sz w:val="18"/>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uiPriority w:val="1"/>
    <w:rsid w:val="009D5FC6"/>
    <w:pPr>
      <w:spacing w:after="0" w:line="240" w:lineRule="auto"/>
    </w:pPr>
    <w:rPr>
      <w:rFonts w:cstheme="majorHAnsi"/>
      <w:color w:val="1F497D" w:themeColor="text2"/>
      <w:kern w:val="14"/>
      <w:sz w:val="18"/>
      <w:szCs w:val="18"/>
      <w:lang w:val="en-GB"/>
    </w:rPr>
  </w:style>
  <w:style w:type="paragraph" w:customStyle="1" w:styleId="DocDate">
    <w:name w:val="~DocDate"/>
    <w:basedOn w:val="NoSpacing"/>
    <w:next w:val="Normal"/>
    <w:rsid w:val="009D5FC6"/>
    <w:pPr>
      <w:jc w:val="right"/>
    </w:pPr>
    <w:rPr>
      <w:b/>
    </w:rPr>
  </w:style>
  <w:style w:type="paragraph" w:customStyle="1" w:styleId="Title">
    <w:name w:val="~Title"/>
    <w:basedOn w:val="NoSpacing"/>
    <w:rsid w:val="009D5FC6"/>
    <w:rPr>
      <w:b/>
      <w:color w:val="4F81BD" w:themeColor="accent1"/>
      <w:sz w:val="48"/>
    </w:rPr>
  </w:style>
  <w:style w:type="paragraph" w:styleId="Caption">
    <w:name w:val="caption"/>
    <w:aliases w:val="~Caption"/>
    <w:basedOn w:val="Normal"/>
    <w:next w:val="Normal"/>
    <w:link w:val="CaptionChar"/>
    <w:qFormat/>
    <w:rsid w:val="009D5FC6"/>
    <w:pPr>
      <w:keepNext/>
      <w:pBdr>
        <w:top w:val="single" w:sz="4" w:space="2" w:color="EEECE1" w:themeColor="background2"/>
        <w:left w:val="single" w:sz="4" w:space="2" w:color="EEECE1" w:themeColor="background2"/>
        <w:bottom w:val="single" w:sz="4" w:space="2" w:color="EEECE1" w:themeColor="background2"/>
      </w:pBdr>
      <w:shd w:val="clear" w:color="auto" w:fill="EEECE1" w:themeFill="background2"/>
      <w:spacing w:before="60" w:after="0" w:line="240" w:lineRule="auto"/>
      <w:ind w:left="57" w:right="28"/>
    </w:pPr>
    <w:rPr>
      <w:rFonts w:asciiTheme="majorHAnsi" w:eastAsia="Calibri" w:hAnsiTheme="majorHAnsi" w:cs="Arial"/>
      <w:b/>
      <w:bCs/>
      <w:color w:val="000000" w:themeColor="text1"/>
      <w:kern w:val="14"/>
      <w:sz w:val="18"/>
      <w:szCs w:val="20"/>
      <w:lang w:val="en-GB"/>
    </w:rPr>
  </w:style>
  <w:style w:type="paragraph" w:customStyle="1" w:styleId="GraphicCentre">
    <w:name w:val="~GraphicCentre"/>
    <w:basedOn w:val="Normal"/>
    <w:rsid w:val="009D5FC6"/>
    <w:pPr>
      <w:spacing w:before="60" w:after="40" w:line="240" w:lineRule="auto"/>
      <w:jc w:val="center"/>
    </w:pPr>
    <w:rPr>
      <w:rFonts w:cstheme="majorHAnsi"/>
      <w:color w:val="1F497D" w:themeColor="text2"/>
      <w:kern w:val="14"/>
      <w:sz w:val="18"/>
      <w:szCs w:val="18"/>
      <w:lang w:val="en-GB"/>
    </w:rPr>
  </w:style>
  <w:style w:type="paragraph" w:customStyle="1" w:styleId="IntroText">
    <w:name w:val="~IntroText"/>
    <w:basedOn w:val="Normal"/>
    <w:next w:val="Normal"/>
    <w:qFormat/>
    <w:rsid w:val="009D5FC6"/>
    <w:pPr>
      <w:pBdr>
        <w:top w:val="single" w:sz="8" w:space="4" w:color="EEECE1" w:themeColor="background2"/>
        <w:left w:val="single" w:sz="8" w:space="4" w:color="EEECE1" w:themeColor="background2"/>
        <w:bottom w:val="single" w:sz="8" w:space="4" w:color="EEECE1" w:themeColor="background2"/>
        <w:right w:val="single" w:sz="8" w:space="4" w:color="EEECE1" w:themeColor="background2"/>
      </w:pBdr>
      <w:shd w:val="clear" w:color="auto" w:fill="EEECE1" w:themeFill="background2"/>
      <w:spacing w:after="240" w:line="312" w:lineRule="auto"/>
      <w:ind w:left="113" w:right="113"/>
    </w:pPr>
    <w:rPr>
      <w:rFonts w:asciiTheme="majorHAnsi" w:hAnsiTheme="majorHAnsi" w:cstheme="majorHAnsi"/>
      <w:b/>
      <w:color w:val="000000" w:themeColor="text1"/>
      <w:kern w:val="14"/>
      <w:sz w:val="18"/>
      <w:szCs w:val="18"/>
      <w:lang w:val="en-GB"/>
    </w:rPr>
  </w:style>
  <w:style w:type="paragraph" w:customStyle="1" w:styleId="Source">
    <w:name w:val="~Source"/>
    <w:basedOn w:val="Caption"/>
    <w:next w:val="Normal"/>
    <w:qFormat/>
    <w:rsid w:val="009D5FC6"/>
    <w:pPr>
      <w:keepNext w:val="0"/>
      <w:pBdr>
        <w:bottom w:val="single" w:sz="4" w:space="1" w:color="EEECE1" w:themeColor="background2"/>
      </w:pBdr>
      <w:spacing w:before="0"/>
    </w:pPr>
    <w:rPr>
      <w:b w:val="0"/>
      <w:sz w:val="16"/>
      <w:szCs w:val="16"/>
    </w:rPr>
  </w:style>
  <w:style w:type="paragraph" w:customStyle="1" w:styleId="Spacer">
    <w:name w:val="~Spacer"/>
    <w:basedOn w:val="NoSpacing"/>
    <w:rsid w:val="009D5FC6"/>
    <w:rPr>
      <w:rFonts w:ascii="Arial" w:hAnsi="Arial"/>
      <w:sz w:val="6"/>
    </w:rPr>
  </w:style>
  <w:style w:type="paragraph" w:customStyle="1" w:styleId="TableTextLeft">
    <w:name w:val="~TableTextLeft"/>
    <w:basedOn w:val="Normal"/>
    <w:link w:val="TableTextLeftChar"/>
    <w:qFormat/>
    <w:rsid w:val="009D5FC6"/>
    <w:pPr>
      <w:keepNext/>
      <w:spacing w:after="0" w:line="240" w:lineRule="auto"/>
    </w:pPr>
    <w:rPr>
      <w:rFonts w:ascii="Arial Narrow" w:hAnsi="Arial Narrow" w:cstheme="majorHAnsi"/>
      <w:color w:val="000000" w:themeColor="text1"/>
      <w:kern w:val="12"/>
      <w:sz w:val="16"/>
      <w:szCs w:val="18"/>
      <w:lang w:val="en-GB"/>
    </w:rPr>
  </w:style>
  <w:style w:type="paragraph" w:customStyle="1" w:styleId="TableBullet1">
    <w:name w:val="~TableBullet1"/>
    <w:basedOn w:val="TableTextLeft"/>
    <w:rsid w:val="009D5FC6"/>
    <w:pPr>
      <w:numPr>
        <w:numId w:val="1"/>
      </w:numPr>
    </w:pPr>
    <w:rPr>
      <w:rFonts w:eastAsia="Calibri" w:cs="Arial"/>
      <w:szCs w:val="20"/>
    </w:rPr>
  </w:style>
  <w:style w:type="paragraph" w:customStyle="1" w:styleId="TableHeadingLeft">
    <w:name w:val="~TableHeadingLeft"/>
    <w:basedOn w:val="TableTextLeft"/>
    <w:qFormat/>
    <w:rsid w:val="009D5FC6"/>
    <w:pPr>
      <w:spacing w:before="20" w:after="20"/>
    </w:pPr>
    <w:rPr>
      <w:b/>
      <w:szCs w:val="26"/>
    </w:rPr>
  </w:style>
  <w:style w:type="paragraph" w:customStyle="1" w:styleId="TableHeadingRight">
    <w:name w:val="~TableHeadingRight"/>
    <w:basedOn w:val="TableHeadingLeft"/>
    <w:qFormat/>
    <w:rsid w:val="009D5FC6"/>
    <w:pPr>
      <w:jc w:val="right"/>
    </w:pPr>
  </w:style>
  <w:style w:type="table" w:customStyle="1" w:styleId="TableStd">
    <w:name w:val="~TableStd"/>
    <w:basedOn w:val="TableNormal"/>
    <w:uiPriority w:val="99"/>
    <w:qFormat/>
    <w:rsid w:val="009D5FC6"/>
    <w:pPr>
      <w:spacing w:after="0" w:line="240" w:lineRule="auto"/>
    </w:pPr>
    <w:rPr>
      <w:rFonts w:asciiTheme="majorHAnsi" w:hAnsiTheme="majorHAnsi" w:cstheme="majorHAnsi"/>
      <w:color w:val="000000" w:themeColor="text1"/>
      <w:kern w:val="14"/>
      <w:sz w:val="20"/>
      <w:szCs w:val="18"/>
      <w:lang w:val="en-GB"/>
    </w:rPr>
    <w:tblPr>
      <w:tblInd w:w="57" w:type="dxa"/>
      <w:tblBorders>
        <w:top w:val="single" w:sz="4" w:space="0" w:color="4F81BD" w:themeColor="accent1"/>
        <w:bottom w:val="single" w:sz="4" w:space="0" w:color="4F81BD" w:themeColor="accent1"/>
        <w:insideH w:val="single" w:sz="4" w:space="0" w:color="F79646" w:themeColor="accent6"/>
      </w:tblBorders>
      <w:tblCellMar>
        <w:left w:w="57" w:type="dxa"/>
        <w:right w:w="57" w:type="dxa"/>
      </w:tblCellMar>
    </w:tblPr>
    <w:tblStylePr w:type="firstRow">
      <w:tblPr/>
      <w:tcPr>
        <w:tcBorders>
          <w:top w:val="single" w:sz="4" w:space="0" w:color="FFFFFF" w:themeColor="background1"/>
          <w:left w:val="nil"/>
          <w:bottom w:val="single" w:sz="4" w:space="0" w:color="4F81BD" w:themeColor="accent1"/>
          <w:right w:val="nil"/>
          <w:insideH w:val="nil"/>
          <w:insideV w:val="single" w:sz="4" w:space="0" w:color="FFFFFF" w:themeColor="background1"/>
        </w:tcBorders>
        <w:shd w:val="clear" w:color="auto" w:fill="EEECE1" w:themeFill="background2"/>
      </w:tcPr>
    </w:tblStylePr>
  </w:style>
  <w:style w:type="paragraph" w:customStyle="1" w:styleId="TableTextRight">
    <w:name w:val="~TableTextRight"/>
    <w:basedOn w:val="TableTextLeft"/>
    <w:rsid w:val="009D5FC6"/>
    <w:pPr>
      <w:jc w:val="right"/>
    </w:pPr>
  </w:style>
  <w:style w:type="paragraph" w:styleId="Footer">
    <w:name w:val="footer"/>
    <w:aliases w:val="~Footer"/>
    <w:basedOn w:val="NoSpacing"/>
    <w:link w:val="FooterChar"/>
    <w:uiPriority w:val="99"/>
    <w:rsid w:val="009D5FC6"/>
    <w:pPr>
      <w:tabs>
        <w:tab w:val="center" w:pos="4513"/>
        <w:tab w:val="right" w:pos="9026"/>
      </w:tabs>
    </w:pPr>
  </w:style>
  <w:style w:type="character" w:customStyle="1" w:styleId="FooterChar">
    <w:name w:val="Footer Char"/>
    <w:aliases w:val="~Footer Char"/>
    <w:basedOn w:val="DefaultParagraphFont"/>
    <w:link w:val="Footer"/>
    <w:uiPriority w:val="99"/>
    <w:rsid w:val="009D5FC6"/>
    <w:rPr>
      <w:rFonts w:cstheme="majorHAnsi"/>
      <w:color w:val="1F497D" w:themeColor="text2"/>
      <w:kern w:val="14"/>
      <w:sz w:val="18"/>
      <w:szCs w:val="18"/>
      <w:lang w:val="en-GB"/>
    </w:rPr>
  </w:style>
  <w:style w:type="paragraph" w:styleId="Header">
    <w:name w:val="header"/>
    <w:aliases w:val="~Header"/>
    <w:basedOn w:val="NoSpacing"/>
    <w:link w:val="HeaderChar"/>
    <w:uiPriority w:val="99"/>
    <w:rsid w:val="009D5FC6"/>
    <w:pPr>
      <w:spacing w:after="40"/>
    </w:pPr>
  </w:style>
  <w:style w:type="character" w:customStyle="1" w:styleId="HeaderChar">
    <w:name w:val="Header Char"/>
    <w:aliases w:val="~Header Char"/>
    <w:basedOn w:val="DefaultParagraphFont"/>
    <w:link w:val="Header"/>
    <w:uiPriority w:val="99"/>
    <w:rsid w:val="009D5FC6"/>
    <w:rPr>
      <w:rFonts w:cstheme="majorHAnsi"/>
      <w:color w:val="1F497D" w:themeColor="text2"/>
      <w:kern w:val="14"/>
      <w:sz w:val="18"/>
      <w:szCs w:val="18"/>
      <w:lang w:val="en-GB"/>
    </w:rPr>
  </w:style>
  <w:style w:type="character" w:customStyle="1" w:styleId="CaptionChar">
    <w:name w:val="Caption Char"/>
    <w:aliases w:val="~Caption Char"/>
    <w:basedOn w:val="DefaultParagraphFont"/>
    <w:link w:val="Caption"/>
    <w:rsid w:val="009D5FC6"/>
    <w:rPr>
      <w:rFonts w:asciiTheme="majorHAnsi" w:eastAsia="Calibri" w:hAnsiTheme="majorHAnsi" w:cs="Arial"/>
      <w:b/>
      <w:bCs/>
      <w:color w:val="000000" w:themeColor="text1"/>
      <w:kern w:val="14"/>
      <w:sz w:val="18"/>
      <w:szCs w:val="20"/>
      <w:shd w:val="clear" w:color="auto" w:fill="EEECE1" w:themeFill="background2"/>
      <w:lang w:val="en-GB"/>
    </w:rPr>
  </w:style>
  <w:style w:type="paragraph" w:customStyle="1" w:styleId="KeyStat">
    <w:name w:val="~KeyStat"/>
    <w:basedOn w:val="Normal"/>
    <w:rsid w:val="009D5FC6"/>
    <w:pPr>
      <w:spacing w:before="20" w:after="40" w:line="264" w:lineRule="auto"/>
    </w:pPr>
    <w:rPr>
      <w:rFonts w:asciiTheme="majorHAnsi" w:hAnsiTheme="majorHAnsi" w:cstheme="majorHAnsi"/>
      <w:b/>
      <w:color w:val="4F81BD" w:themeColor="accent1"/>
      <w:kern w:val="14"/>
      <w:szCs w:val="18"/>
      <w:lang w:val="en-GB"/>
    </w:rPr>
  </w:style>
  <w:style w:type="paragraph" w:customStyle="1" w:styleId="KeyData">
    <w:name w:val="~KeyData"/>
    <w:basedOn w:val="KeyStat"/>
    <w:rsid w:val="009D5FC6"/>
    <w:pPr>
      <w:framePr w:wrap="around" w:hAnchor="text"/>
      <w:jc w:val="right"/>
    </w:pPr>
  </w:style>
  <w:style w:type="paragraph" w:customStyle="1" w:styleId="Email">
    <w:name w:val="~Email"/>
    <w:basedOn w:val="NoSpacing"/>
    <w:rsid w:val="009D5FC6"/>
    <w:pPr>
      <w:framePr w:hSpace="181" w:wrap="around" w:vAnchor="text" w:hAnchor="page" w:x="8364" w:y="1"/>
    </w:pPr>
    <w:rPr>
      <w:sz w:val="14"/>
    </w:rPr>
  </w:style>
  <w:style w:type="paragraph" w:customStyle="1" w:styleId="LastPgDisclaimer">
    <w:name w:val="~LastPgDisclaimer"/>
    <w:basedOn w:val="NoSpacing"/>
    <w:rsid w:val="009D5FC6"/>
    <w:pPr>
      <w:spacing w:before="60" w:after="60"/>
    </w:pPr>
    <w:rPr>
      <w:rFonts w:ascii="Arial Narrow" w:hAnsi="Arial Narrow"/>
      <w:sz w:val="12"/>
    </w:rPr>
  </w:style>
  <w:style w:type="paragraph" w:customStyle="1" w:styleId="LastPgAddress">
    <w:name w:val="~LastPgAddress"/>
    <w:basedOn w:val="TableTextLeft"/>
    <w:rsid w:val="009D5FC6"/>
    <w:pPr>
      <w:spacing w:before="20"/>
    </w:pPr>
    <w:rPr>
      <w:sz w:val="12"/>
    </w:rPr>
  </w:style>
  <w:style w:type="paragraph" w:customStyle="1" w:styleId="PageWarning">
    <w:name w:val="~PageWarning"/>
    <w:basedOn w:val="Header"/>
    <w:rsid w:val="009D5FC6"/>
    <w:rPr>
      <w:b/>
      <w:color w:val="FF0000"/>
      <w:sz w:val="26"/>
    </w:rPr>
  </w:style>
  <w:style w:type="paragraph" w:customStyle="1" w:styleId="BusiDescript">
    <w:name w:val="~BusiDescript"/>
    <w:basedOn w:val="TableTextLeft"/>
    <w:rsid w:val="009D5FC6"/>
    <w:pPr>
      <w:spacing w:before="80" w:line="288" w:lineRule="auto"/>
    </w:pPr>
    <w:rPr>
      <w:color w:val="auto"/>
    </w:rPr>
  </w:style>
  <w:style w:type="character" w:styleId="Hyperlink">
    <w:name w:val="Hyperlink"/>
    <w:aliases w:val="~Hyperlink"/>
    <w:basedOn w:val="DefaultParagraphFont"/>
    <w:uiPriority w:val="99"/>
    <w:rsid w:val="009D5FC6"/>
    <w:rPr>
      <w:color w:val="4F81BD" w:themeColor="accent1"/>
      <w:u w:val="single"/>
    </w:rPr>
  </w:style>
  <w:style w:type="character" w:customStyle="1" w:styleId="TableTextLeftChar">
    <w:name w:val="~TableTextLeft Char"/>
    <w:basedOn w:val="DefaultParagraphFont"/>
    <w:link w:val="TableTextLeft"/>
    <w:rsid w:val="009D5FC6"/>
    <w:rPr>
      <w:rFonts w:ascii="Arial Narrow" w:hAnsi="Arial Narrow" w:cstheme="majorHAnsi"/>
      <w:color w:val="000000" w:themeColor="text1"/>
      <w:kern w:val="12"/>
      <w:sz w:val="16"/>
      <w:szCs w:val="18"/>
      <w:lang w:val="en-GB"/>
    </w:rPr>
  </w:style>
  <w:style w:type="paragraph" w:styleId="BalloonText">
    <w:name w:val="Balloon Text"/>
    <w:basedOn w:val="Normal"/>
    <w:link w:val="BalloonTextChar"/>
    <w:uiPriority w:val="99"/>
    <w:semiHidden/>
    <w:unhideWhenUsed/>
    <w:rsid w:val="00E30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9F2"/>
    <w:rPr>
      <w:rFonts w:ascii="Tahoma" w:hAnsi="Tahoma" w:cs="Tahoma"/>
      <w:sz w:val="16"/>
      <w:szCs w:val="16"/>
    </w:rPr>
  </w:style>
  <w:style w:type="character" w:customStyle="1" w:styleId="Heading3Char">
    <w:name w:val="Heading 3 Char"/>
    <w:basedOn w:val="DefaultParagraphFont"/>
    <w:link w:val="Heading3"/>
    <w:uiPriority w:val="9"/>
    <w:semiHidden/>
    <w:rsid w:val="007C2AE9"/>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EE1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1AE"/>
    <w:rPr>
      <w:sz w:val="20"/>
      <w:szCs w:val="20"/>
    </w:rPr>
  </w:style>
  <w:style w:type="character" w:styleId="FootnoteReference">
    <w:name w:val="footnote reference"/>
    <w:basedOn w:val="DefaultParagraphFont"/>
    <w:uiPriority w:val="99"/>
    <w:semiHidden/>
    <w:unhideWhenUsed/>
    <w:rsid w:val="00EE11AE"/>
    <w:rPr>
      <w:vertAlign w:val="superscript"/>
    </w:rPr>
  </w:style>
  <w:style w:type="paragraph" w:styleId="ListParagraph">
    <w:name w:val="List Paragraph"/>
    <w:basedOn w:val="Normal"/>
    <w:uiPriority w:val="34"/>
    <w:qFormat/>
    <w:rsid w:val="004124A6"/>
    <w:pPr>
      <w:spacing w:before="120" w:after="0" w:line="312" w:lineRule="auto"/>
      <w:ind w:left="720"/>
      <w:contextualSpacing/>
    </w:pPr>
    <w:rPr>
      <w:rFonts w:ascii="Arial" w:hAnsi="Arial" w:cstheme="majorHAnsi"/>
      <w:color w:val="000000" w:themeColor="text1"/>
      <w:kern w:val="14"/>
      <w:sz w:val="18"/>
      <w:szCs w:val="18"/>
      <w:lang w:val="en-GB"/>
    </w:rPr>
  </w:style>
  <w:style w:type="character" w:styleId="UnresolvedMention">
    <w:name w:val="Unresolved Mention"/>
    <w:basedOn w:val="DefaultParagraphFont"/>
    <w:uiPriority w:val="99"/>
    <w:semiHidden/>
    <w:unhideWhenUsed/>
    <w:rsid w:val="009427EF"/>
    <w:rPr>
      <w:color w:val="605E5C"/>
      <w:shd w:val="clear" w:color="auto" w:fill="E1DFDD"/>
    </w:rPr>
  </w:style>
  <w:style w:type="paragraph" w:customStyle="1" w:styleId="Consensusestimates">
    <w:name w:val="Consensus estimates"/>
    <w:basedOn w:val="Caption"/>
    <w:qFormat/>
    <w:rsid w:val="0064502D"/>
    <w:pPr>
      <w:framePr w:hSpace="181" w:wrap="around" w:hAnchor="text" w:yAlign="bottom"/>
    </w:pPr>
  </w:style>
  <w:style w:type="character" w:styleId="FollowedHyperlink">
    <w:name w:val="FollowedHyperlink"/>
    <w:basedOn w:val="DefaultParagraphFont"/>
    <w:uiPriority w:val="99"/>
    <w:semiHidden/>
    <w:unhideWhenUsed/>
    <w:rsid w:val="00B42F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84727">
      <w:bodyDiv w:val="1"/>
      <w:marLeft w:val="0"/>
      <w:marRight w:val="0"/>
      <w:marTop w:val="0"/>
      <w:marBottom w:val="0"/>
      <w:divBdr>
        <w:top w:val="none" w:sz="0" w:space="0" w:color="auto"/>
        <w:left w:val="none" w:sz="0" w:space="0" w:color="auto"/>
        <w:bottom w:val="none" w:sz="0" w:space="0" w:color="auto"/>
        <w:right w:val="none" w:sz="0" w:space="0" w:color="auto"/>
      </w:divBdr>
    </w:div>
    <w:div w:id="952248732">
      <w:bodyDiv w:val="1"/>
      <w:marLeft w:val="0"/>
      <w:marRight w:val="0"/>
      <w:marTop w:val="0"/>
      <w:marBottom w:val="0"/>
      <w:divBdr>
        <w:top w:val="none" w:sz="0" w:space="0" w:color="auto"/>
        <w:left w:val="none" w:sz="0" w:space="0" w:color="auto"/>
        <w:bottom w:val="none" w:sz="0" w:space="0" w:color="auto"/>
        <w:right w:val="none" w:sz="0" w:space="0" w:color="auto"/>
      </w:divBdr>
    </w:div>
    <w:div w:id="1302882038">
      <w:bodyDiv w:val="1"/>
      <w:marLeft w:val="0"/>
      <w:marRight w:val="0"/>
      <w:marTop w:val="0"/>
      <w:marBottom w:val="0"/>
      <w:divBdr>
        <w:top w:val="none" w:sz="0" w:space="0" w:color="auto"/>
        <w:left w:val="none" w:sz="0" w:space="0" w:color="auto"/>
        <w:bottom w:val="none" w:sz="0" w:space="0" w:color="auto"/>
        <w:right w:val="none" w:sz="0" w:space="0" w:color="auto"/>
      </w:divBdr>
    </w:div>
    <w:div w:id="1613248953">
      <w:bodyDiv w:val="1"/>
      <w:marLeft w:val="0"/>
      <w:marRight w:val="0"/>
      <w:marTop w:val="0"/>
      <w:marBottom w:val="0"/>
      <w:divBdr>
        <w:top w:val="none" w:sz="0" w:space="0" w:color="auto"/>
        <w:left w:val="none" w:sz="0" w:space="0" w:color="auto"/>
        <w:bottom w:val="none" w:sz="0" w:space="0" w:color="auto"/>
        <w:right w:val="none" w:sz="0" w:space="0" w:color="auto"/>
      </w:divBdr>
    </w:div>
    <w:div w:id="16898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info@afca.org.au" TargetMode="External"/><Relationship Id="rId4" Type="http://schemas.openxmlformats.org/officeDocument/2006/relationships/settings" Target="settings.xml"/><Relationship Id="rId9" Type="http://schemas.openxmlformats.org/officeDocument/2006/relationships/hyperlink" Target="http://www.afca.org.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B0DB3D059146CDA305DC98D8E4D6BF"/>
        <w:category>
          <w:name w:val="General"/>
          <w:gallery w:val="placeholder"/>
        </w:category>
        <w:types>
          <w:type w:val="bbPlcHdr"/>
        </w:types>
        <w:behaviors>
          <w:behavior w:val="content"/>
        </w:behaviors>
        <w:guid w:val="{47C26F4E-CDD2-4651-941F-F457C181C5B0}"/>
      </w:docPartPr>
      <w:docPartBody>
        <w:p w:rsidR="00C36CB1" w:rsidRDefault="002E2406" w:rsidP="002E2406">
          <w:pPr>
            <w:pStyle w:val="15B0DB3D059146CDA305DC98D8E4D6BF"/>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06"/>
    <w:rsid w:val="000E1D7F"/>
    <w:rsid w:val="002D440F"/>
    <w:rsid w:val="002E2406"/>
    <w:rsid w:val="004B4ADC"/>
    <w:rsid w:val="005001EB"/>
    <w:rsid w:val="007054AE"/>
    <w:rsid w:val="00B813D4"/>
    <w:rsid w:val="00C36CB1"/>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0DB3D059146CDA305DC98D8E4D6BF">
    <w:name w:val="15B0DB3D059146CDA305DC98D8E4D6BF"/>
    <w:rsid w:val="002E2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0000"/>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AADAC-1A55-453B-AD43-F7FCE2D7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1633</Words>
  <Characters>9310</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finola.burke@raasgroup.com;moira.daw@raasgroup.com</dc:creator>
  <cp:lastModifiedBy>Finola Burke</cp:lastModifiedBy>
  <cp:revision>3</cp:revision>
  <cp:lastPrinted>2019-07-04T04:22:00Z</cp:lastPrinted>
  <dcterms:created xsi:type="dcterms:W3CDTF">2019-07-04T04:22:00Z</dcterms:created>
  <dcterms:modified xsi:type="dcterms:W3CDTF">2019-07-04T04:22:00Z</dcterms:modified>
</cp:coreProperties>
</file>