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text" w:horzAnchor="page" w:tblpX="8141" w:tblpY="1"/>
        <w:tblW w:w="339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57" w:type="dxa"/>
          <w:left w:w="57" w:type="dxa"/>
          <w:bottom w:w="57" w:type="dxa"/>
          <w:right w:w="57" w:type="dxa"/>
        </w:tblCellMar>
        <w:tblLook w:val="04A0" w:firstRow="1" w:lastRow="0" w:firstColumn="1" w:lastColumn="0" w:noHBand="0" w:noVBand="1"/>
      </w:tblPr>
      <w:tblGrid>
        <w:gridCol w:w="3392"/>
      </w:tblGrid>
      <w:tr w:rsidR="009D5FC6" w14:paraId="65537ED0" w14:textId="77777777" w:rsidTr="00166B37">
        <w:trPr>
          <w:trHeight w:val="13248"/>
        </w:trPr>
        <w:tc>
          <w:tcPr>
            <w:tcW w:w="3392" w:type="dxa"/>
          </w:tcPr>
          <w:p w14:paraId="078DE95D" w14:textId="17AD9A3C" w:rsidR="009D5FC6" w:rsidRPr="00606EA3" w:rsidRDefault="009A385C" w:rsidP="00032454">
            <w:pPr>
              <w:pStyle w:val="Caption"/>
              <w:rPr>
                <w:color w:val="FF0000"/>
                <w:sz w:val="16"/>
                <w:szCs w:val="16"/>
              </w:rPr>
            </w:pPr>
            <w:bookmarkStart w:id="0" w:name="BM_FistPageLeftTable" w:colFirst="0" w:colLast="0"/>
            <w:r w:rsidRPr="00606EA3">
              <w:rPr>
                <w:color w:val="FF0000"/>
                <w:sz w:val="16"/>
                <w:szCs w:val="16"/>
              </w:rPr>
              <w:t>Share</w:t>
            </w:r>
            <w:r w:rsidR="009D5FC6" w:rsidRPr="00606EA3">
              <w:rPr>
                <w:color w:val="FF0000"/>
                <w:sz w:val="16"/>
                <w:szCs w:val="16"/>
              </w:rPr>
              <w:t xml:space="preserve"> </w:t>
            </w:r>
            <w:r w:rsidR="002E4472">
              <w:rPr>
                <w:color w:val="FF0000"/>
                <w:sz w:val="16"/>
                <w:szCs w:val="16"/>
              </w:rPr>
              <w:t>D</w:t>
            </w:r>
            <w:r w:rsidR="009D5FC6" w:rsidRPr="00606EA3">
              <w:rPr>
                <w:color w:val="FF0000"/>
                <w:sz w:val="16"/>
                <w:szCs w:val="16"/>
              </w:rPr>
              <w:t>etails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638"/>
              <w:gridCol w:w="1640"/>
            </w:tblGrid>
            <w:tr w:rsidR="002866D6" w14:paraId="6113EEFC" w14:textId="77777777" w:rsidTr="00A87E9F">
              <w:trPr>
                <w:cantSplit/>
                <w:trHeight w:val="115"/>
              </w:trPr>
              <w:tc>
                <w:tcPr>
                  <w:tcW w:w="1638" w:type="dxa"/>
                  <w:tcMar>
                    <w:top w:w="57" w:type="dxa"/>
                    <w:bottom w:w="57" w:type="dxa"/>
                  </w:tcMar>
                </w:tcPr>
                <w:p w14:paraId="6A3E543F" w14:textId="77777777" w:rsidR="002866D6" w:rsidRDefault="002866D6" w:rsidP="00166B37">
                  <w:pPr>
                    <w:pStyle w:val="TableTextLeft"/>
                    <w:framePr w:hSpace="181" w:wrap="around" w:vAnchor="text" w:hAnchor="page" w:x="8141" w:y="1"/>
                  </w:pPr>
                  <w:bookmarkStart w:id="1" w:name="BM_DocEventTable" w:colFirst="0" w:colLast="1"/>
                  <w:r>
                    <w:t>ASX Code</w:t>
                  </w:r>
                </w:p>
              </w:tc>
              <w:tc>
                <w:tcPr>
                  <w:tcW w:w="1640" w:type="dxa"/>
                  <w:tcMar>
                    <w:top w:w="57" w:type="dxa"/>
                    <w:bottom w:w="57" w:type="dxa"/>
                  </w:tcMar>
                </w:tcPr>
                <w:p w14:paraId="7432EF51" w14:textId="06EFC1AF" w:rsidR="002866D6" w:rsidRPr="007C7A30" w:rsidRDefault="00ED72DC" w:rsidP="00166B37">
                  <w:pPr>
                    <w:pStyle w:val="TableTextRight"/>
                    <w:framePr w:hSpace="181" w:wrap="around" w:vAnchor="text" w:hAnchor="page" w:x="8141" w:y="1"/>
                  </w:pPr>
                  <w:r>
                    <w:t>QML</w:t>
                  </w:r>
                </w:p>
              </w:tc>
            </w:tr>
            <w:tr w:rsidR="00CF2FB3" w14:paraId="44D049F4" w14:textId="77777777" w:rsidTr="00A87E9F">
              <w:trPr>
                <w:cantSplit/>
                <w:trHeight w:val="20"/>
              </w:trPr>
              <w:tc>
                <w:tcPr>
                  <w:tcW w:w="1638" w:type="dxa"/>
                  <w:tcMar>
                    <w:top w:w="57" w:type="dxa"/>
                    <w:bottom w:w="57" w:type="dxa"/>
                  </w:tcMar>
                </w:tcPr>
                <w:p w14:paraId="54C41D6D" w14:textId="4585EF15" w:rsidR="00CF2FB3" w:rsidRDefault="00CF2FB3" w:rsidP="00166B37">
                  <w:pPr>
                    <w:pStyle w:val="TableTextLeft"/>
                    <w:framePr w:hSpace="181" w:wrap="around" w:vAnchor="text" w:hAnchor="page" w:x="8141" w:y="1"/>
                  </w:pPr>
                  <w:r>
                    <w:t xml:space="preserve">Share Price </w:t>
                  </w:r>
                  <w:r w:rsidR="003B50B2">
                    <w:t>(IPO)</w:t>
                  </w:r>
                </w:p>
              </w:tc>
              <w:tc>
                <w:tcPr>
                  <w:tcW w:w="1640" w:type="dxa"/>
                  <w:tcMar>
                    <w:top w:w="57" w:type="dxa"/>
                    <w:bottom w:w="57" w:type="dxa"/>
                  </w:tcMar>
                </w:tcPr>
                <w:p w14:paraId="02A9BD50" w14:textId="20038AB0" w:rsidR="00CF2FB3" w:rsidRPr="007C7A30" w:rsidRDefault="003B50B2" w:rsidP="00166B37">
                  <w:pPr>
                    <w:pStyle w:val="TableTextRight"/>
                    <w:framePr w:hSpace="181" w:wrap="around" w:vAnchor="text" w:hAnchor="page" w:x="8141" w:y="1"/>
                  </w:pPr>
                  <w:r>
                    <w:t>$0.30</w:t>
                  </w:r>
                </w:p>
              </w:tc>
            </w:tr>
            <w:tr w:rsidR="00CF2FB3" w14:paraId="0E62196C" w14:textId="77777777" w:rsidTr="00A87E9F">
              <w:trPr>
                <w:cantSplit/>
                <w:trHeight w:val="20"/>
              </w:trPr>
              <w:tc>
                <w:tcPr>
                  <w:tcW w:w="1638" w:type="dxa"/>
                  <w:tcMar>
                    <w:top w:w="57" w:type="dxa"/>
                    <w:bottom w:w="57" w:type="dxa"/>
                  </w:tcMar>
                </w:tcPr>
                <w:p w14:paraId="514FF0D6" w14:textId="77777777" w:rsidR="007A14EB" w:rsidRDefault="00CF2FB3" w:rsidP="00166B37">
                  <w:pPr>
                    <w:pStyle w:val="TableTextLeft"/>
                    <w:framePr w:hSpace="181" w:wrap="around" w:vAnchor="text" w:hAnchor="page" w:x="8141" w:y="1"/>
                  </w:pPr>
                  <w:r>
                    <w:t>Market Capitalisation</w:t>
                  </w:r>
                </w:p>
                <w:p w14:paraId="05B1EFB6" w14:textId="13194115" w:rsidR="00CF2FB3" w:rsidRDefault="00AA3223" w:rsidP="00166B37">
                  <w:pPr>
                    <w:pStyle w:val="TableTextLeft"/>
                    <w:framePr w:hSpace="181" w:wrap="around" w:vAnchor="text" w:hAnchor="page" w:x="8141" w:y="1"/>
                  </w:pPr>
                  <w:r>
                    <w:t>(at IPO</w:t>
                  </w:r>
                  <w:r w:rsidR="00A35764">
                    <w:t>) (minimum subscription</w:t>
                  </w:r>
                  <w:r>
                    <w:t>)</w:t>
                  </w:r>
                  <w:r w:rsidR="007A14EB">
                    <w:t xml:space="preserve"> </w:t>
                  </w:r>
                </w:p>
              </w:tc>
              <w:tc>
                <w:tcPr>
                  <w:tcW w:w="1640" w:type="dxa"/>
                  <w:tcMar>
                    <w:top w:w="57" w:type="dxa"/>
                    <w:bottom w:w="57" w:type="dxa"/>
                  </w:tcMar>
                </w:tcPr>
                <w:p w14:paraId="1645C9F9" w14:textId="4A959C61" w:rsidR="00CF2FB3" w:rsidRPr="007C7A30" w:rsidRDefault="00CF2FB3" w:rsidP="00166B37">
                  <w:pPr>
                    <w:pStyle w:val="TableTextRight"/>
                    <w:framePr w:hSpace="181" w:wrap="around" w:vAnchor="text" w:hAnchor="page" w:x="8141" w:y="1"/>
                  </w:pPr>
                  <w:r w:rsidRPr="007C7A30">
                    <w:t>$</w:t>
                  </w:r>
                  <w:r w:rsidR="004500AE">
                    <w:t>31.6</w:t>
                  </w:r>
                  <w:r w:rsidR="004C26C6">
                    <w:t>M</w:t>
                  </w:r>
                </w:p>
              </w:tc>
            </w:tr>
            <w:tr w:rsidR="00CF2FB3" w14:paraId="1BA40CE1" w14:textId="77777777" w:rsidTr="00A87E9F">
              <w:trPr>
                <w:cantSplit/>
                <w:trHeight w:val="20"/>
              </w:trPr>
              <w:tc>
                <w:tcPr>
                  <w:tcW w:w="1638" w:type="dxa"/>
                  <w:tcMar>
                    <w:top w:w="57" w:type="dxa"/>
                    <w:bottom w:w="57" w:type="dxa"/>
                  </w:tcMar>
                </w:tcPr>
                <w:p w14:paraId="6475EE0B" w14:textId="011A17E0" w:rsidR="00CF2FB3" w:rsidRPr="00AD4F56" w:rsidRDefault="00CF2FB3" w:rsidP="00166B37">
                  <w:pPr>
                    <w:pStyle w:val="TableTextLeft"/>
                    <w:framePr w:hSpace="181" w:wrap="around" w:vAnchor="text" w:hAnchor="page" w:x="8141" w:y="1"/>
                  </w:pPr>
                  <w:r>
                    <w:t>Number of shares</w:t>
                  </w:r>
                </w:p>
              </w:tc>
              <w:tc>
                <w:tcPr>
                  <w:tcW w:w="1640" w:type="dxa"/>
                  <w:tcMar>
                    <w:top w:w="57" w:type="dxa"/>
                    <w:bottom w:w="57" w:type="dxa"/>
                  </w:tcMar>
                </w:tcPr>
                <w:p w14:paraId="1B3A037A" w14:textId="53E6C682" w:rsidR="00CF2FB3" w:rsidRPr="007C7A30" w:rsidRDefault="004500AE" w:rsidP="00166B37">
                  <w:pPr>
                    <w:pStyle w:val="TableTextRight"/>
                    <w:framePr w:hSpace="181" w:wrap="around" w:vAnchor="text" w:hAnchor="page" w:x="8141" w:y="1"/>
                  </w:pPr>
                  <w:r>
                    <w:t>105.37</w:t>
                  </w:r>
                  <w:r w:rsidR="002C212C">
                    <w:t>M</w:t>
                  </w:r>
                </w:p>
              </w:tc>
            </w:tr>
            <w:tr w:rsidR="00145131" w14:paraId="55FBC743" w14:textId="77777777" w:rsidTr="00A87E9F">
              <w:trPr>
                <w:cantSplit/>
                <w:trHeight w:val="20"/>
              </w:trPr>
              <w:tc>
                <w:tcPr>
                  <w:tcW w:w="1638" w:type="dxa"/>
                  <w:tcMar>
                    <w:top w:w="57" w:type="dxa"/>
                    <w:bottom w:w="57" w:type="dxa"/>
                  </w:tcMar>
                </w:tcPr>
                <w:p w14:paraId="650758F9" w14:textId="3301DC78" w:rsidR="00145131" w:rsidRDefault="00145131" w:rsidP="00166B37">
                  <w:pPr>
                    <w:pStyle w:val="TableTextLeft"/>
                    <w:framePr w:hSpace="181" w:wrap="around" w:vAnchor="text" w:hAnchor="page" w:x="8141" w:y="1"/>
                  </w:pPr>
                  <w:r>
                    <w:t>Options on issue</w:t>
                  </w:r>
                  <w:r w:rsidR="00323E93">
                    <w:t xml:space="preserve"> </w:t>
                  </w:r>
                </w:p>
              </w:tc>
              <w:tc>
                <w:tcPr>
                  <w:tcW w:w="1640" w:type="dxa"/>
                  <w:tcMar>
                    <w:top w:w="57" w:type="dxa"/>
                    <w:bottom w:w="57" w:type="dxa"/>
                  </w:tcMar>
                </w:tcPr>
                <w:p w14:paraId="65ED26F1" w14:textId="770EE702" w:rsidR="00145131" w:rsidRPr="007C7A30" w:rsidRDefault="004500AE" w:rsidP="00166B37">
                  <w:pPr>
                    <w:pStyle w:val="TableTextRight"/>
                    <w:framePr w:hSpace="181" w:wrap="around" w:vAnchor="text" w:hAnchor="page" w:x="8141" w:y="1"/>
                  </w:pPr>
                  <w:r>
                    <w:t>4.2</w:t>
                  </w:r>
                  <w:r w:rsidR="00145131" w:rsidRPr="007C7A30">
                    <w:t>M</w:t>
                  </w:r>
                </w:p>
              </w:tc>
            </w:tr>
            <w:tr w:rsidR="00CF2FB3" w14:paraId="517E0909" w14:textId="77777777" w:rsidTr="00A87E9F">
              <w:trPr>
                <w:cantSplit/>
                <w:trHeight w:val="20"/>
              </w:trPr>
              <w:tc>
                <w:tcPr>
                  <w:tcW w:w="1638" w:type="dxa"/>
                  <w:tcMar>
                    <w:top w:w="57" w:type="dxa"/>
                    <w:bottom w:w="57" w:type="dxa"/>
                  </w:tcMar>
                </w:tcPr>
                <w:p w14:paraId="359DFDF4" w14:textId="3062ED6B" w:rsidR="00CF2FB3" w:rsidRDefault="00DB4ED0" w:rsidP="00166B37">
                  <w:pPr>
                    <w:pStyle w:val="TableTextLeft"/>
                    <w:framePr w:hSpace="181" w:wrap="around" w:vAnchor="text" w:hAnchor="page" w:x="8141" w:y="1"/>
                  </w:pPr>
                  <w:r>
                    <w:t>Gross</w:t>
                  </w:r>
                  <w:r w:rsidR="00E31D0F">
                    <w:t xml:space="preserve"> cash</w:t>
                  </w:r>
                  <w:r w:rsidR="00CF2FB3">
                    <w:t xml:space="preserve"> </w:t>
                  </w:r>
                  <w:r w:rsidR="004500AE">
                    <w:t>at listing</w:t>
                  </w:r>
                </w:p>
              </w:tc>
              <w:tc>
                <w:tcPr>
                  <w:tcW w:w="1640" w:type="dxa"/>
                  <w:tcMar>
                    <w:top w:w="57" w:type="dxa"/>
                    <w:bottom w:w="57" w:type="dxa"/>
                  </w:tcMar>
                </w:tcPr>
                <w:p w14:paraId="09245282" w14:textId="79419C34" w:rsidR="00CF2FB3" w:rsidRPr="007C7A30" w:rsidRDefault="00973355" w:rsidP="00166B37">
                  <w:pPr>
                    <w:pStyle w:val="TableTextRight"/>
                    <w:framePr w:hSpace="181" w:wrap="around" w:vAnchor="text" w:hAnchor="page" w:x="8141" w:y="1"/>
                  </w:pPr>
                  <w:r>
                    <w:t>~</w:t>
                  </w:r>
                  <w:r w:rsidR="00CF2FB3" w:rsidRPr="007C7A30">
                    <w:t>$</w:t>
                  </w:r>
                  <w:r w:rsidR="004500AE">
                    <w:t>10</w:t>
                  </w:r>
                  <w:r w:rsidR="00F77489">
                    <w:t>.9</w:t>
                  </w:r>
                  <w:r w:rsidR="00CF2FB3" w:rsidRPr="007C7A30">
                    <w:t>M</w:t>
                  </w:r>
                </w:p>
              </w:tc>
            </w:tr>
          </w:tbl>
          <w:bookmarkEnd w:id="1"/>
          <w:p w14:paraId="7FCE022D" w14:textId="77777777" w:rsidR="00076ECD" w:rsidRPr="00606EA3" w:rsidRDefault="00076ECD" w:rsidP="00076ECD">
            <w:pPr>
              <w:pStyle w:val="Caption"/>
              <w:rPr>
                <w:color w:val="FF0000"/>
                <w:sz w:val="16"/>
                <w:szCs w:val="16"/>
              </w:rPr>
            </w:pPr>
            <w:r w:rsidRPr="00606EA3">
              <w:rPr>
                <w:color w:val="FF0000"/>
                <w:sz w:val="16"/>
                <w:szCs w:val="16"/>
              </w:rPr>
              <w:t>Upside Case</w:t>
            </w:r>
          </w:p>
          <w:tbl>
            <w:tblPr>
              <w:tblStyle w:val="TableGrid"/>
              <w:tblW w:w="9684" w:type="dxa"/>
              <w:tblLayout w:type="fixed"/>
              <w:tblCellMar>
                <w:left w:w="57" w:type="dxa"/>
                <w:right w:w="57" w:type="dxa"/>
              </w:tblCellMar>
              <w:tblLook w:val="04A0" w:firstRow="1" w:lastRow="0" w:firstColumn="1" w:lastColumn="0" w:noHBand="0" w:noVBand="1"/>
            </w:tblPr>
            <w:tblGrid>
              <w:gridCol w:w="3228"/>
              <w:gridCol w:w="3229"/>
              <w:gridCol w:w="3227"/>
            </w:tblGrid>
            <w:tr w:rsidR="00076ECD" w:rsidRPr="00A736B4" w14:paraId="32D4862E" w14:textId="77777777" w:rsidTr="001D44C2">
              <w:tc>
                <w:tcPr>
                  <w:tcW w:w="1667" w:type="pct"/>
                  <w:tcBorders>
                    <w:top w:val="nil"/>
                    <w:left w:val="nil"/>
                    <w:bottom w:val="nil"/>
                    <w:right w:val="nil"/>
                  </w:tcBorders>
                </w:tcPr>
                <w:p w14:paraId="1D366BF7" w14:textId="216020FC" w:rsidR="00076ECD" w:rsidRPr="00A736B4" w:rsidRDefault="00076ECD" w:rsidP="00166B37">
                  <w:pPr>
                    <w:pStyle w:val="TableBullet1"/>
                    <w:framePr w:hSpace="181" w:wrap="around" w:vAnchor="text" w:hAnchor="page" w:x="8141" w:y="1"/>
                    <w:numPr>
                      <w:ilvl w:val="0"/>
                      <w:numId w:val="13"/>
                    </w:numPr>
                    <w:spacing w:before="120"/>
                  </w:pPr>
                  <w:r>
                    <w:t>Board is highly experienced in building and successfully exiting assets</w:t>
                  </w:r>
                </w:p>
              </w:tc>
              <w:tc>
                <w:tcPr>
                  <w:tcW w:w="1667" w:type="pct"/>
                  <w:tcBorders>
                    <w:top w:val="nil"/>
                    <w:left w:val="nil"/>
                    <w:bottom w:val="nil"/>
                    <w:right w:val="nil"/>
                  </w:tcBorders>
                </w:tcPr>
                <w:p w14:paraId="4BD8A0B2" w14:textId="77777777" w:rsidR="00076ECD" w:rsidRPr="00A736B4" w:rsidRDefault="00076ECD" w:rsidP="00166B37">
                  <w:pPr>
                    <w:pStyle w:val="TableBullet1"/>
                    <w:framePr w:hSpace="181" w:wrap="around" w:vAnchor="text" w:hAnchor="page" w:x="8141" w:y="1"/>
                    <w:numPr>
                      <w:ilvl w:val="0"/>
                      <w:numId w:val="0"/>
                    </w:numPr>
                  </w:pPr>
                </w:p>
              </w:tc>
              <w:tc>
                <w:tcPr>
                  <w:tcW w:w="1666" w:type="pct"/>
                  <w:tcBorders>
                    <w:top w:val="nil"/>
                    <w:left w:val="nil"/>
                    <w:bottom w:val="nil"/>
                    <w:right w:val="nil"/>
                  </w:tcBorders>
                  <w:tcMar>
                    <w:top w:w="57" w:type="dxa"/>
                    <w:bottom w:w="57" w:type="dxa"/>
                  </w:tcMar>
                </w:tcPr>
                <w:p w14:paraId="5099AED2" w14:textId="77777777" w:rsidR="00076ECD" w:rsidRPr="00A736B4" w:rsidRDefault="00076ECD" w:rsidP="00166B37">
                  <w:pPr>
                    <w:pStyle w:val="TableBullet1"/>
                    <w:framePr w:hSpace="181" w:wrap="around" w:vAnchor="text" w:hAnchor="page" w:x="8141" w:y="1"/>
                    <w:numPr>
                      <w:ilvl w:val="0"/>
                      <w:numId w:val="3"/>
                    </w:numPr>
                    <w:rPr>
                      <w:color w:val="auto"/>
                    </w:rPr>
                  </w:pPr>
                  <w:bookmarkStart w:id="2" w:name="BM_DocAnaTable" w:colFirst="0" w:colLast="1"/>
                </w:p>
              </w:tc>
            </w:tr>
            <w:tr w:rsidR="00076ECD" w:rsidRPr="00A736B4" w14:paraId="22E6D90C" w14:textId="77777777" w:rsidTr="001D44C2">
              <w:tc>
                <w:tcPr>
                  <w:tcW w:w="1667" w:type="pct"/>
                  <w:tcBorders>
                    <w:top w:val="nil"/>
                    <w:left w:val="nil"/>
                    <w:bottom w:val="nil"/>
                    <w:right w:val="nil"/>
                  </w:tcBorders>
                </w:tcPr>
                <w:p w14:paraId="1E2C6F06" w14:textId="33A7E705" w:rsidR="00076ECD" w:rsidRPr="00A736B4" w:rsidRDefault="00993A44" w:rsidP="00166B37">
                  <w:pPr>
                    <w:pStyle w:val="TableBullet1"/>
                    <w:framePr w:hSpace="181" w:wrap="around" w:vAnchor="text" w:hAnchor="page" w:x="8141" w:y="1"/>
                    <w:numPr>
                      <w:ilvl w:val="0"/>
                      <w:numId w:val="13"/>
                    </w:numPr>
                  </w:pPr>
                  <w:r>
                    <w:t>Prospective brownfield project close to infrastructure</w:t>
                  </w:r>
                </w:p>
              </w:tc>
              <w:tc>
                <w:tcPr>
                  <w:tcW w:w="1667" w:type="pct"/>
                  <w:tcBorders>
                    <w:top w:val="nil"/>
                    <w:left w:val="nil"/>
                    <w:bottom w:val="nil"/>
                    <w:right w:val="nil"/>
                  </w:tcBorders>
                </w:tcPr>
                <w:p w14:paraId="29AC0AA1" w14:textId="77777777" w:rsidR="00076ECD" w:rsidRPr="00A736B4" w:rsidRDefault="00076ECD" w:rsidP="00166B37">
                  <w:pPr>
                    <w:pStyle w:val="TableBullet1"/>
                    <w:framePr w:hSpace="181" w:wrap="around" w:vAnchor="text" w:hAnchor="page" w:x="8141" w:y="1"/>
                    <w:numPr>
                      <w:ilvl w:val="0"/>
                      <w:numId w:val="0"/>
                    </w:numPr>
                  </w:pPr>
                </w:p>
              </w:tc>
              <w:tc>
                <w:tcPr>
                  <w:tcW w:w="1666" w:type="pct"/>
                  <w:tcBorders>
                    <w:top w:val="nil"/>
                    <w:left w:val="nil"/>
                    <w:bottom w:val="nil"/>
                    <w:right w:val="nil"/>
                  </w:tcBorders>
                  <w:tcMar>
                    <w:top w:w="57" w:type="dxa"/>
                    <w:bottom w:w="57" w:type="dxa"/>
                  </w:tcMar>
                </w:tcPr>
                <w:p w14:paraId="482086F9" w14:textId="77777777" w:rsidR="00076ECD" w:rsidRPr="00A736B4" w:rsidRDefault="00076ECD" w:rsidP="00166B37">
                  <w:pPr>
                    <w:pStyle w:val="TableBullet1"/>
                    <w:framePr w:hSpace="181" w:wrap="around" w:vAnchor="text" w:hAnchor="page" w:x="8141" w:y="1"/>
                    <w:numPr>
                      <w:ilvl w:val="0"/>
                      <w:numId w:val="3"/>
                    </w:numPr>
                    <w:rPr>
                      <w:color w:val="auto"/>
                    </w:rPr>
                  </w:pPr>
                </w:p>
              </w:tc>
            </w:tr>
            <w:tr w:rsidR="00076ECD" w:rsidRPr="00A736B4" w14:paraId="1199E270" w14:textId="77777777" w:rsidTr="001D44C2">
              <w:tc>
                <w:tcPr>
                  <w:tcW w:w="1667" w:type="pct"/>
                  <w:tcBorders>
                    <w:top w:val="nil"/>
                    <w:left w:val="nil"/>
                    <w:bottom w:val="nil"/>
                    <w:right w:val="nil"/>
                  </w:tcBorders>
                </w:tcPr>
                <w:p w14:paraId="0D216BFE" w14:textId="22FC7F9F" w:rsidR="00076ECD" w:rsidRPr="00A736B4" w:rsidRDefault="00D55E5D" w:rsidP="00166B37">
                  <w:pPr>
                    <w:pStyle w:val="TableBullet1"/>
                    <w:framePr w:hSpace="181" w:wrap="around" w:vAnchor="text" w:hAnchor="page" w:x="8141" w:y="1"/>
                    <w:numPr>
                      <w:ilvl w:val="0"/>
                      <w:numId w:val="13"/>
                    </w:numPr>
                  </w:pPr>
                  <w:r>
                    <w:t>Current commodities cycle and prices favourable for explorers</w:t>
                  </w:r>
                </w:p>
              </w:tc>
              <w:tc>
                <w:tcPr>
                  <w:tcW w:w="1667" w:type="pct"/>
                  <w:tcBorders>
                    <w:top w:val="nil"/>
                    <w:left w:val="nil"/>
                    <w:bottom w:val="nil"/>
                    <w:right w:val="nil"/>
                  </w:tcBorders>
                </w:tcPr>
                <w:p w14:paraId="56389F74" w14:textId="77777777" w:rsidR="00076ECD" w:rsidRPr="00A736B4" w:rsidRDefault="00076ECD" w:rsidP="00166B37">
                  <w:pPr>
                    <w:pStyle w:val="TableBullet1"/>
                    <w:framePr w:hSpace="181" w:wrap="around" w:vAnchor="text" w:hAnchor="page" w:x="8141" w:y="1"/>
                    <w:numPr>
                      <w:ilvl w:val="0"/>
                      <w:numId w:val="0"/>
                    </w:numPr>
                  </w:pPr>
                </w:p>
              </w:tc>
              <w:tc>
                <w:tcPr>
                  <w:tcW w:w="1666" w:type="pct"/>
                  <w:tcBorders>
                    <w:top w:val="nil"/>
                    <w:left w:val="nil"/>
                    <w:bottom w:val="nil"/>
                    <w:right w:val="nil"/>
                  </w:tcBorders>
                  <w:tcMar>
                    <w:top w:w="57" w:type="dxa"/>
                    <w:bottom w:w="57" w:type="dxa"/>
                  </w:tcMar>
                </w:tcPr>
                <w:p w14:paraId="5549F71C" w14:textId="77777777" w:rsidR="00076ECD" w:rsidRPr="00A736B4" w:rsidRDefault="00076ECD" w:rsidP="00166B37">
                  <w:pPr>
                    <w:pStyle w:val="TableBullet1"/>
                    <w:framePr w:hSpace="181" w:wrap="around" w:vAnchor="text" w:hAnchor="page" w:x="8141" w:y="1"/>
                    <w:numPr>
                      <w:ilvl w:val="0"/>
                      <w:numId w:val="3"/>
                    </w:numPr>
                    <w:rPr>
                      <w:color w:val="auto"/>
                    </w:rPr>
                  </w:pPr>
                </w:p>
              </w:tc>
            </w:tr>
          </w:tbl>
          <w:bookmarkEnd w:id="2"/>
          <w:p w14:paraId="5790A06D" w14:textId="77777777" w:rsidR="00076ECD" w:rsidRPr="00A736B4" w:rsidRDefault="00076ECD" w:rsidP="00076ECD">
            <w:pPr>
              <w:pStyle w:val="Caption"/>
              <w:rPr>
                <w:color w:val="FF0000"/>
                <w:sz w:val="16"/>
                <w:szCs w:val="16"/>
              </w:rPr>
            </w:pPr>
            <w:r w:rsidRPr="00A736B4">
              <w:rPr>
                <w:color w:val="FF0000"/>
                <w:sz w:val="16"/>
                <w:szCs w:val="16"/>
              </w:rPr>
              <w:t>Downside Case</w:t>
            </w:r>
          </w:p>
          <w:tbl>
            <w:tblPr>
              <w:tblStyle w:val="TableGrid"/>
              <w:tblW w:w="5443" w:type="dxa"/>
              <w:tblLayout w:type="fixed"/>
              <w:tblCellMar>
                <w:left w:w="57" w:type="dxa"/>
                <w:right w:w="57" w:type="dxa"/>
              </w:tblCellMar>
              <w:tblLook w:val="04A0" w:firstRow="1" w:lastRow="0" w:firstColumn="1" w:lastColumn="0" w:noHBand="0" w:noVBand="1"/>
            </w:tblPr>
            <w:tblGrid>
              <w:gridCol w:w="3460"/>
              <w:gridCol w:w="1929"/>
              <w:gridCol w:w="54"/>
            </w:tblGrid>
            <w:tr w:rsidR="00076ECD" w:rsidRPr="00A736B4" w14:paraId="15C3A013" w14:textId="77777777" w:rsidTr="00076ECD">
              <w:tc>
                <w:tcPr>
                  <w:tcW w:w="3460" w:type="dxa"/>
                  <w:tcBorders>
                    <w:top w:val="nil"/>
                    <w:left w:val="nil"/>
                    <w:bottom w:val="nil"/>
                    <w:right w:val="nil"/>
                  </w:tcBorders>
                </w:tcPr>
                <w:p w14:paraId="343C20DF" w14:textId="4AE2707C" w:rsidR="00076ECD" w:rsidRDefault="00076ECD" w:rsidP="00166B37">
                  <w:pPr>
                    <w:pStyle w:val="TableBullet1"/>
                    <w:framePr w:hSpace="181" w:wrap="around" w:vAnchor="text" w:hAnchor="page" w:x="8141" w:y="1"/>
                    <w:numPr>
                      <w:ilvl w:val="0"/>
                      <w:numId w:val="9"/>
                    </w:numPr>
                    <w:spacing w:before="120"/>
                    <w:ind w:right="219"/>
                  </w:pPr>
                  <w:r>
                    <w:t>Further capital likely to build out resources</w:t>
                  </w:r>
                  <w:r w:rsidR="00A35764">
                    <w:t>.</w:t>
                  </w:r>
                </w:p>
                <w:p w14:paraId="066A3733" w14:textId="77777777" w:rsidR="00076ECD" w:rsidRDefault="00D3415A" w:rsidP="00166B37">
                  <w:pPr>
                    <w:pStyle w:val="TableBullet1"/>
                    <w:framePr w:hSpace="181" w:wrap="around" w:vAnchor="text" w:hAnchor="page" w:x="8141" w:y="1"/>
                    <w:numPr>
                      <w:ilvl w:val="0"/>
                      <w:numId w:val="9"/>
                    </w:numPr>
                    <w:spacing w:before="120"/>
                    <w:ind w:right="219"/>
                  </w:pPr>
                  <w:r>
                    <w:t>No guarantee the current high copper price can be maintained</w:t>
                  </w:r>
                </w:p>
                <w:p w14:paraId="01C5E634" w14:textId="0B3A86D4" w:rsidR="00DB6B1F" w:rsidRPr="00A736B4" w:rsidRDefault="00DB6B1F" w:rsidP="00166B37">
                  <w:pPr>
                    <w:pStyle w:val="TableBullet1"/>
                    <w:framePr w:hSpace="181" w:wrap="around" w:vAnchor="text" w:hAnchor="page" w:x="8141" w:y="1"/>
                    <w:numPr>
                      <w:ilvl w:val="0"/>
                      <w:numId w:val="9"/>
                    </w:numPr>
                    <w:spacing w:before="120"/>
                    <w:ind w:right="219"/>
                  </w:pPr>
                  <w:r>
                    <w:t xml:space="preserve">Ongoing COVID restrictions could disrupt </w:t>
                  </w:r>
                </w:p>
              </w:tc>
              <w:tc>
                <w:tcPr>
                  <w:tcW w:w="1983" w:type="dxa"/>
                  <w:gridSpan w:val="2"/>
                  <w:tcBorders>
                    <w:top w:val="nil"/>
                    <w:left w:val="nil"/>
                    <w:bottom w:val="nil"/>
                    <w:right w:val="nil"/>
                  </w:tcBorders>
                  <w:tcMar>
                    <w:top w:w="57" w:type="dxa"/>
                    <w:bottom w:w="57" w:type="dxa"/>
                  </w:tcMar>
                </w:tcPr>
                <w:p w14:paraId="201D0E8B" w14:textId="77777777" w:rsidR="00076ECD" w:rsidRPr="00A736B4" w:rsidRDefault="00076ECD" w:rsidP="00166B37">
                  <w:pPr>
                    <w:pStyle w:val="TableBullet1"/>
                    <w:framePr w:hSpace="181" w:wrap="around" w:vAnchor="text" w:hAnchor="page" w:x="8141" w:y="1"/>
                    <w:numPr>
                      <w:ilvl w:val="0"/>
                      <w:numId w:val="0"/>
                    </w:numPr>
                  </w:pPr>
                </w:p>
              </w:tc>
            </w:tr>
            <w:tr w:rsidR="00150DA6" w:rsidRPr="00A736B4" w14:paraId="42E19E71" w14:textId="77777777" w:rsidTr="00076ECD">
              <w:trPr>
                <w:gridAfter w:val="1"/>
                <w:wAfter w:w="53" w:type="dxa"/>
              </w:trPr>
              <w:tc>
                <w:tcPr>
                  <w:tcW w:w="5390" w:type="dxa"/>
                  <w:gridSpan w:val="2"/>
                  <w:tcBorders>
                    <w:top w:val="nil"/>
                    <w:left w:val="nil"/>
                    <w:bottom w:val="nil"/>
                    <w:right w:val="nil"/>
                  </w:tcBorders>
                </w:tcPr>
                <w:tbl>
                  <w:tblPr>
                    <w:tblStyle w:val="TableGrid"/>
                    <w:tblW w:w="5443" w:type="dxa"/>
                    <w:tblLayout w:type="fixed"/>
                    <w:tblCellMar>
                      <w:left w:w="57" w:type="dxa"/>
                      <w:right w:w="57" w:type="dxa"/>
                    </w:tblCellMar>
                    <w:tblLook w:val="04A0" w:firstRow="1" w:lastRow="0" w:firstColumn="1" w:lastColumn="0" w:noHBand="0" w:noVBand="1"/>
                  </w:tblPr>
                  <w:tblGrid>
                    <w:gridCol w:w="5443"/>
                  </w:tblGrid>
                  <w:tr w:rsidR="00076ECD" w:rsidRPr="00A736B4" w14:paraId="2453ED9F" w14:textId="77777777" w:rsidTr="001D44C2">
                    <w:tc>
                      <w:tcPr>
                        <w:tcW w:w="5165" w:type="dxa"/>
                        <w:tcBorders>
                          <w:top w:val="nil"/>
                          <w:left w:val="nil"/>
                          <w:bottom w:val="nil"/>
                          <w:right w:val="nil"/>
                        </w:tcBorders>
                      </w:tcPr>
                      <w:p w14:paraId="053C5400" w14:textId="77777777" w:rsidR="00076ECD" w:rsidRPr="00A736B4" w:rsidRDefault="00076ECD" w:rsidP="00166B37">
                        <w:pPr>
                          <w:pStyle w:val="Caption"/>
                          <w:framePr w:hSpace="181" w:wrap="around" w:vAnchor="text" w:hAnchor="page" w:x="8141" w:y="1"/>
                          <w:rPr>
                            <w:color w:val="FF0000"/>
                            <w:sz w:val="16"/>
                            <w:szCs w:val="16"/>
                          </w:rPr>
                        </w:pPr>
                        <w:r w:rsidRPr="00A736B4">
                          <w:rPr>
                            <w:color w:val="FF0000"/>
                            <w:sz w:val="16"/>
                            <w:szCs w:val="16"/>
                          </w:rPr>
                          <w:t>Catalysts</w:t>
                        </w:r>
                      </w:p>
                      <w:p w14:paraId="766F3BBE" w14:textId="77777777" w:rsidR="00076ECD" w:rsidRPr="00A736B4" w:rsidRDefault="00076ECD" w:rsidP="00166B37">
                        <w:pPr>
                          <w:pStyle w:val="TableBullet1"/>
                          <w:framePr w:hSpace="181" w:wrap="around" w:vAnchor="text" w:hAnchor="page" w:x="8141" w:y="1"/>
                          <w:numPr>
                            <w:ilvl w:val="0"/>
                            <w:numId w:val="9"/>
                          </w:numPr>
                          <w:spacing w:before="120" w:after="120"/>
                        </w:pPr>
                        <w:r>
                          <w:t xml:space="preserve">Results from drill programme at Mt Chalmers  </w:t>
                        </w:r>
                      </w:p>
                    </w:tc>
                  </w:tr>
                  <w:tr w:rsidR="00076ECD" w:rsidRPr="000B78FE" w14:paraId="373F5C6A" w14:textId="77777777" w:rsidTr="001D44C2">
                    <w:tc>
                      <w:tcPr>
                        <w:tcW w:w="5165" w:type="dxa"/>
                        <w:tcBorders>
                          <w:top w:val="nil"/>
                          <w:left w:val="nil"/>
                          <w:bottom w:val="nil"/>
                          <w:right w:val="nil"/>
                        </w:tcBorders>
                      </w:tcPr>
                      <w:p w14:paraId="42CFC181" w14:textId="77777777" w:rsidR="00076ECD" w:rsidRPr="000B78FE" w:rsidRDefault="00076ECD" w:rsidP="00166B37">
                        <w:pPr>
                          <w:pStyle w:val="TableBullet1"/>
                          <w:framePr w:hSpace="181" w:wrap="around" w:vAnchor="text" w:hAnchor="page" w:x="8141" w:y="1"/>
                          <w:numPr>
                            <w:ilvl w:val="0"/>
                            <w:numId w:val="9"/>
                          </w:numPr>
                          <w:spacing w:after="120"/>
                          <w:rPr>
                            <w:color w:val="FF0000"/>
                            <w:szCs w:val="16"/>
                          </w:rPr>
                        </w:pPr>
                        <w:r>
                          <w:t>Expanded JORC Resource at Mt Chalmers</w:t>
                        </w:r>
                      </w:p>
                    </w:tc>
                  </w:tr>
                </w:tbl>
                <w:p w14:paraId="2A988533" w14:textId="15D052B3" w:rsidR="00150DA6" w:rsidRPr="00A736B4" w:rsidRDefault="0016345C" w:rsidP="00166B37">
                  <w:pPr>
                    <w:pStyle w:val="Caption"/>
                    <w:framePr w:hSpace="181" w:wrap="around" w:vAnchor="text" w:hAnchor="page" w:x="8141" w:y="1"/>
                    <w:rPr>
                      <w:color w:val="FF0000"/>
                      <w:sz w:val="16"/>
                      <w:szCs w:val="16"/>
                    </w:rPr>
                  </w:pPr>
                  <w:r>
                    <w:rPr>
                      <w:color w:val="FF0000"/>
                      <w:sz w:val="16"/>
                      <w:szCs w:val="16"/>
                    </w:rPr>
                    <w:t>Board of Directors</w:t>
                  </w:r>
                </w:p>
                <w:p w14:paraId="383ACD45" w14:textId="76EC30B9" w:rsidR="00150DA6" w:rsidRPr="00A736B4" w:rsidRDefault="0016345C" w:rsidP="00166B37">
                  <w:pPr>
                    <w:pStyle w:val="TableBullet1"/>
                    <w:framePr w:hSpace="181" w:wrap="around" w:vAnchor="text" w:hAnchor="page" w:x="8141" w:y="1"/>
                    <w:numPr>
                      <w:ilvl w:val="0"/>
                      <w:numId w:val="0"/>
                    </w:numPr>
                    <w:spacing w:before="120" w:after="120"/>
                  </w:pPr>
                  <w:r>
                    <w:t>Andrew Sparke              Executive Chairman</w:t>
                  </w:r>
                  <w:r w:rsidR="00457639">
                    <w:t xml:space="preserve"> </w:t>
                  </w:r>
                  <w:r w:rsidR="0019624A">
                    <w:t xml:space="preserve"> </w:t>
                  </w:r>
                </w:p>
              </w:tc>
            </w:tr>
            <w:tr w:rsidR="00A736B4" w:rsidRPr="00A736B4" w14:paraId="47806461" w14:textId="77777777" w:rsidTr="00076ECD">
              <w:trPr>
                <w:gridAfter w:val="1"/>
                <w:wAfter w:w="53" w:type="dxa"/>
              </w:trPr>
              <w:tc>
                <w:tcPr>
                  <w:tcW w:w="5390" w:type="dxa"/>
                  <w:gridSpan w:val="2"/>
                  <w:tcBorders>
                    <w:top w:val="nil"/>
                    <w:left w:val="nil"/>
                    <w:bottom w:val="nil"/>
                    <w:right w:val="nil"/>
                  </w:tcBorders>
                </w:tcPr>
                <w:p w14:paraId="67C631EF" w14:textId="759E2D6B" w:rsidR="006D340D" w:rsidRDefault="0016345C" w:rsidP="00166B37">
                  <w:pPr>
                    <w:pStyle w:val="TableBullet1"/>
                    <w:framePr w:hSpace="181" w:wrap="around" w:vAnchor="text" w:hAnchor="page" w:x="8141" w:y="1"/>
                    <w:numPr>
                      <w:ilvl w:val="0"/>
                      <w:numId w:val="0"/>
                    </w:numPr>
                    <w:spacing w:after="120"/>
                  </w:pPr>
                  <w:r>
                    <w:t>Daniel Lansk</w:t>
                  </w:r>
                  <w:r w:rsidR="002E4472">
                    <w:t>e</w:t>
                  </w:r>
                  <w:r>
                    <w:t>y                Managing Director</w:t>
                  </w:r>
                </w:p>
                <w:p w14:paraId="3ABB88EB" w14:textId="072E86F5" w:rsidR="003B6572" w:rsidRPr="003B6572" w:rsidRDefault="002E4472" w:rsidP="00166B37">
                  <w:pPr>
                    <w:pStyle w:val="TableBullet1"/>
                    <w:framePr w:hSpace="181" w:wrap="around" w:vAnchor="text" w:hAnchor="page" w:x="8141" w:y="1"/>
                    <w:numPr>
                      <w:ilvl w:val="0"/>
                      <w:numId w:val="0"/>
                    </w:numPr>
                    <w:spacing w:after="120"/>
                  </w:pPr>
                  <w:r>
                    <w:t xml:space="preserve">Elissa </w:t>
                  </w:r>
                  <w:r w:rsidR="007209C6">
                    <w:t>Hansen                 Non-Executive Director</w:t>
                  </w:r>
                  <w:r w:rsidR="003B6572">
                    <w:t>/</w:t>
                  </w:r>
                  <w:proofErr w:type="spellStart"/>
                  <w:r w:rsidR="003B6572">
                    <w:t>CoSec</w:t>
                  </w:r>
                  <w:proofErr w:type="spellEnd"/>
                </w:p>
              </w:tc>
            </w:tr>
            <w:tr w:rsidR="00150DA6" w:rsidRPr="00A736B4" w14:paraId="05C9A83F" w14:textId="77777777" w:rsidTr="00076ECD">
              <w:trPr>
                <w:gridAfter w:val="2"/>
                <w:wAfter w:w="1982" w:type="dxa"/>
              </w:trPr>
              <w:tc>
                <w:tcPr>
                  <w:tcW w:w="3461" w:type="dxa"/>
                  <w:tcBorders>
                    <w:top w:val="nil"/>
                    <w:left w:val="nil"/>
                    <w:bottom w:val="nil"/>
                    <w:right w:val="nil"/>
                  </w:tcBorders>
                </w:tcPr>
                <w:p w14:paraId="00CBA5A7" w14:textId="1EFC1CAE" w:rsidR="00150DA6" w:rsidRPr="00A736B4" w:rsidRDefault="00150DA6" w:rsidP="00166B37">
                  <w:pPr>
                    <w:pStyle w:val="Caption"/>
                    <w:framePr w:hSpace="181" w:wrap="around" w:vAnchor="text" w:hAnchor="page" w:x="8141" w:y="1"/>
                    <w:ind w:left="0"/>
                    <w:rPr>
                      <w:color w:val="FF0000"/>
                      <w:sz w:val="16"/>
                      <w:szCs w:val="16"/>
                    </w:rPr>
                  </w:pPr>
                  <w:bookmarkStart w:id="3" w:name="BM_DocEmail" w:colFirst="0" w:colLast="0"/>
                  <w:r w:rsidRPr="00A736B4">
                    <w:rPr>
                      <w:color w:val="FF0000"/>
                      <w:sz w:val="16"/>
                      <w:szCs w:val="16"/>
                    </w:rPr>
                    <w:t xml:space="preserve">Comparative </w:t>
                  </w:r>
                  <w:r w:rsidR="002E4472">
                    <w:rPr>
                      <w:color w:val="FF0000"/>
                      <w:sz w:val="16"/>
                      <w:szCs w:val="16"/>
                    </w:rPr>
                    <w:t>C</w:t>
                  </w:r>
                  <w:r w:rsidRPr="00A736B4">
                    <w:rPr>
                      <w:color w:val="FF0000"/>
                      <w:sz w:val="16"/>
                      <w:szCs w:val="16"/>
                    </w:rPr>
                    <w:t>ompanies (Australia &amp; NZ)</w:t>
                  </w:r>
                </w:p>
                <w:tbl>
                  <w:tblPr>
                    <w:tblStyle w:val="TableGrid"/>
                    <w:tblW w:w="7515" w:type="dxa"/>
                    <w:tblLayout w:type="fixed"/>
                    <w:tblCellMar>
                      <w:left w:w="57" w:type="dxa"/>
                      <w:right w:w="57" w:type="dxa"/>
                    </w:tblCellMar>
                    <w:tblLook w:val="04A0" w:firstRow="1" w:lastRow="0" w:firstColumn="1" w:lastColumn="0" w:noHBand="0" w:noVBand="1"/>
                  </w:tblPr>
                  <w:tblGrid>
                    <w:gridCol w:w="3285"/>
                    <w:gridCol w:w="2115"/>
                    <w:gridCol w:w="2115"/>
                  </w:tblGrid>
                  <w:tr w:rsidR="00150DA6" w:rsidRPr="00A736B4" w14:paraId="012E446A" w14:textId="77777777" w:rsidTr="006711E1">
                    <w:tc>
                      <w:tcPr>
                        <w:tcW w:w="2186" w:type="pct"/>
                        <w:tcBorders>
                          <w:top w:val="nil"/>
                          <w:left w:val="nil"/>
                          <w:bottom w:val="nil"/>
                          <w:right w:val="nil"/>
                        </w:tcBorders>
                        <w:tcMar>
                          <w:top w:w="57" w:type="dxa"/>
                          <w:bottom w:w="57" w:type="dxa"/>
                        </w:tcMar>
                      </w:tcPr>
                      <w:p w14:paraId="1F9EA41A" w14:textId="3F26122A" w:rsidR="00150DA6" w:rsidRPr="00A736B4" w:rsidRDefault="007A541C" w:rsidP="00166B37">
                        <w:pPr>
                          <w:pStyle w:val="TableTextRight"/>
                          <w:framePr w:hSpace="181" w:wrap="around" w:vAnchor="text" w:hAnchor="page" w:x="8141" w:y="1"/>
                          <w:jc w:val="left"/>
                        </w:pPr>
                        <w:r>
                          <w:t xml:space="preserve">AIS, </w:t>
                        </w:r>
                        <w:r w:rsidR="003B44E6">
                          <w:t xml:space="preserve">AIV, AMG, ARE, </w:t>
                        </w:r>
                        <w:r w:rsidR="00572E9A">
                          <w:t>CBY,</w:t>
                        </w:r>
                        <w:r w:rsidR="00693E06">
                          <w:t xml:space="preserve"> MEP</w:t>
                        </w:r>
                        <w:r w:rsidR="001264C6">
                          <w:t>, PEX</w:t>
                        </w:r>
                        <w:r w:rsidR="00836725">
                          <w:t>, TAS, TLM</w:t>
                        </w:r>
                        <w:r w:rsidR="00572E9A">
                          <w:t xml:space="preserve"> </w:t>
                        </w:r>
                      </w:p>
                    </w:tc>
                    <w:tc>
                      <w:tcPr>
                        <w:tcW w:w="1407" w:type="pct"/>
                        <w:tcBorders>
                          <w:top w:val="nil"/>
                          <w:left w:val="nil"/>
                          <w:bottom w:val="nil"/>
                          <w:right w:val="nil"/>
                        </w:tcBorders>
                      </w:tcPr>
                      <w:p w14:paraId="240A4846" w14:textId="77777777" w:rsidR="00150DA6" w:rsidRPr="00A736B4" w:rsidRDefault="00150DA6" w:rsidP="00166B37">
                        <w:pPr>
                          <w:pStyle w:val="TableTextRight"/>
                          <w:framePr w:hSpace="181" w:wrap="around" w:vAnchor="text" w:hAnchor="page" w:x="8141" w:y="1"/>
                          <w:jc w:val="center"/>
                        </w:pPr>
                      </w:p>
                    </w:tc>
                    <w:tc>
                      <w:tcPr>
                        <w:tcW w:w="1407" w:type="pct"/>
                        <w:tcBorders>
                          <w:top w:val="nil"/>
                          <w:left w:val="nil"/>
                          <w:bottom w:val="nil"/>
                          <w:right w:val="nil"/>
                        </w:tcBorders>
                      </w:tcPr>
                      <w:p w14:paraId="398367B4" w14:textId="77777777" w:rsidR="00150DA6" w:rsidRPr="00A736B4" w:rsidRDefault="00150DA6" w:rsidP="00166B37">
                        <w:pPr>
                          <w:pStyle w:val="TableTextRight"/>
                          <w:framePr w:hSpace="181" w:wrap="around" w:vAnchor="text" w:hAnchor="page" w:x="8141" w:y="1"/>
                          <w:jc w:val="center"/>
                        </w:pPr>
                      </w:p>
                    </w:tc>
                  </w:tr>
                </w:tbl>
                <w:p w14:paraId="67035466" w14:textId="77777777" w:rsidR="00150DA6" w:rsidRPr="00A736B4" w:rsidRDefault="00150DA6" w:rsidP="00166B37">
                  <w:pPr>
                    <w:pStyle w:val="Email"/>
                    <w:framePr w:wrap="around" w:x="8141"/>
                    <w:rPr>
                      <w:rStyle w:val="Hyperlink"/>
                    </w:rPr>
                  </w:pPr>
                </w:p>
              </w:tc>
            </w:tr>
            <w:bookmarkEnd w:id="3"/>
            <w:tr w:rsidR="00150DA6" w14:paraId="3326C653" w14:textId="77777777" w:rsidTr="00076ECD">
              <w:trPr>
                <w:gridAfter w:val="1"/>
                <w:wAfter w:w="53" w:type="dxa"/>
              </w:trPr>
              <w:tc>
                <w:tcPr>
                  <w:tcW w:w="5390" w:type="dxa"/>
                  <w:gridSpan w:val="2"/>
                  <w:tcBorders>
                    <w:top w:val="nil"/>
                    <w:left w:val="nil"/>
                    <w:bottom w:val="nil"/>
                    <w:right w:val="nil"/>
                  </w:tcBorders>
                </w:tcPr>
                <w:p w14:paraId="24483A00" w14:textId="48E4F11D" w:rsidR="00150DA6" w:rsidRPr="00AD5507" w:rsidRDefault="00150DA6" w:rsidP="00166B37">
                  <w:pPr>
                    <w:pStyle w:val="Caption"/>
                    <w:framePr w:hSpace="181" w:wrap="around" w:vAnchor="text" w:hAnchor="page" w:x="8141" w:y="1"/>
                    <w:ind w:left="0"/>
                    <w:rPr>
                      <w:color w:val="FF0000"/>
                      <w:sz w:val="16"/>
                      <w:szCs w:val="16"/>
                    </w:rPr>
                  </w:pPr>
                  <w:r w:rsidRPr="00AD5507">
                    <w:rPr>
                      <w:color w:val="FF0000"/>
                      <w:sz w:val="16"/>
                      <w:szCs w:val="16"/>
                    </w:rPr>
                    <w:t xml:space="preserve">Company </w:t>
                  </w:r>
                  <w:r w:rsidR="002E4472">
                    <w:rPr>
                      <w:color w:val="FF0000"/>
                      <w:sz w:val="16"/>
                      <w:szCs w:val="16"/>
                    </w:rPr>
                    <w:t>C</w:t>
                  </w:r>
                  <w:r w:rsidRPr="00AD5507">
                    <w:rPr>
                      <w:color w:val="FF0000"/>
                      <w:sz w:val="16"/>
                      <w:szCs w:val="16"/>
                    </w:rPr>
                    <w:t>ontacts</w:t>
                  </w:r>
                </w:p>
                <w:p w14:paraId="54D194C3" w14:textId="4B80AEBE" w:rsidR="00150DA6" w:rsidRPr="00AD5507" w:rsidRDefault="00303242" w:rsidP="00166B37">
                  <w:pPr>
                    <w:pStyle w:val="TableBullet1"/>
                    <w:framePr w:hSpace="181" w:wrap="around" w:vAnchor="text" w:hAnchor="page" w:x="8141" w:y="1"/>
                    <w:numPr>
                      <w:ilvl w:val="0"/>
                      <w:numId w:val="0"/>
                    </w:numPr>
                    <w:ind w:left="170" w:hanging="170"/>
                  </w:pPr>
                  <w:r>
                    <w:t>Daniel Lansk</w:t>
                  </w:r>
                  <w:r w:rsidR="002E4472">
                    <w:t>e</w:t>
                  </w:r>
                  <w:r>
                    <w:t>y</w:t>
                  </w:r>
                  <w:r w:rsidR="00107083">
                    <w:t xml:space="preserve"> (</w:t>
                  </w:r>
                  <w:r>
                    <w:t>Managing Director</w:t>
                  </w:r>
                  <w:r w:rsidR="00B8035F">
                    <w:t>)</w:t>
                  </w:r>
                </w:p>
                <w:p w14:paraId="41BF8EC2" w14:textId="1202BE54" w:rsidR="00B8035F" w:rsidRDefault="002E4472" w:rsidP="00166B37">
                  <w:pPr>
                    <w:pStyle w:val="TableBullet1"/>
                    <w:framePr w:hSpace="181" w:wrap="around" w:vAnchor="text" w:hAnchor="page" w:x="8141" w:y="1"/>
                    <w:numPr>
                      <w:ilvl w:val="0"/>
                      <w:numId w:val="0"/>
                    </w:numPr>
                    <w:ind w:left="170" w:hanging="170"/>
                    <w:rPr>
                      <w:color w:val="auto"/>
                    </w:rPr>
                  </w:pPr>
                  <w:r>
                    <w:t>dan</w:t>
                  </w:r>
                  <w:r w:rsidR="00167543">
                    <w:rPr>
                      <w:rStyle w:val="Hyperlink"/>
                      <w:color w:val="auto"/>
                      <w:u w:val="none"/>
                    </w:rPr>
                    <w:t>@qmines.com.au</w:t>
                  </w:r>
                </w:p>
                <w:p w14:paraId="37EC87CD" w14:textId="77777777" w:rsidR="00882867" w:rsidRDefault="00882867" w:rsidP="00166B37">
                  <w:pPr>
                    <w:pStyle w:val="TableBullet1"/>
                    <w:framePr w:hSpace="181" w:wrap="around" w:vAnchor="text" w:hAnchor="page" w:x="8141" w:y="1"/>
                    <w:numPr>
                      <w:ilvl w:val="0"/>
                      <w:numId w:val="0"/>
                    </w:numPr>
                    <w:ind w:left="170" w:hanging="170"/>
                    <w:rPr>
                      <w:color w:val="auto"/>
                    </w:rPr>
                  </w:pPr>
                </w:p>
                <w:p w14:paraId="4115551C" w14:textId="008B528C" w:rsidR="00B8035F" w:rsidRPr="00B8035F" w:rsidRDefault="00167543" w:rsidP="00166B37">
                  <w:pPr>
                    <w:pStyle w:val="TableBullet1"/>
                    <w:framePr w:hSpace="181" w:wrap="around" w:vAnchor="text" w:hAnchor="page" w:x="8141" w:y="1"/>
                    <w:numPr>
                      <w:ilvl w:val="0"/>
                      <w:numId w:val="0"/>
                    </w:numPr>
                    <w:ind w:left="170" w:hanging="170"/>
                    <w:rPr>
                      <w:color w:val="auto"/>
                    </w:rPr>
                  </w:pPr>
                  <w:r>
                    <w:t xml:space="preserve">Peter </w:t>
                  </w:r>
                  <w:proofErr w:type="spellStart"/>
                  <w:r>
                    <w:t>Nesvada</w:t>
                  </w:r>
                  <w:proofErr w:type="spellEnd"/>
                  <w:r w:rsidR="00B8035F">
                    <w:t xml:space="preserve"> (</w:t>
                  </w:r>
                  <w:r w:rsidR="000F6E4E">
                    <w:t>IR</w:t>
                  </w:r>
                  <w:r w:rsidR="00B8035F">
                    <w:t>)</w:t>
                  </w:r>
                </w:p>
                <w:p w14:paraId="74A06190" w14:textId="4C140D01" w:rsidR="00150DA6" w:rsidRPr="00AD5507" w:rsidRDefault="000F6E4E" w:rsidP="00166B37">
                  <w:pPr>
                    <w:pStyle w:val="TableBullet1"/>
                    <w:framePr w:hSpace="181" w:wrap="around" w:vAnchor="text" w:hAnchor="page" w:x="8141" w:y="1"/>
                    <w:numPr>
                      <w:ilvl w:val="0"/>
                      <w:numId w:val="0"/>
                    </w:numPr>
                    <w:ind w:left="170" w:hanging="170"/>
                  </w:pPr>
                  <w:r>
                    <w:t>peter@qmines</w:t>
                  </w:r>
                  <w:r w:rsidR="004B7710">
                    <w:t>.com.au</w:t>
                  </w:r>
                </w:p>
                <w:p w14:paraId="6BB252FE" w14:textId="2422001D" w:rsidR="00150DA6" w:rsidRPr="005E5F60" w:rsidRDefault="00150DA6" w:rsidP="00166B37">
                  <w:pPr>
                    <w:pStyle w:val="TableBullet1"/>
                    <w:framePr w:hSpace="181" w:wrap="around" w:vAnchor="text" w:hAnchor="page" w:x="8141" w:y="1"/>
                    <w:numPr>
                      <w:ilvl w:val="0"/>
                      <w:numId w:val="0"/>
                    </w:numPr>
                    <w:ind w:left="170" w:hanging="170"/>
                    <w:rPr>
                      <w:highlight w:val="yellow"/>
                    </w:rPr>
                  </w:pPr>
                </w:p>
              </w:tc>
            </w:tr>
          </w:tbl>
          <w:p w14:paraId="719325DB" w14:textId="0E4C595C" w:rsidR="003D33EB" w:rsidRPr="00606EA3" w:rsidRDefault="003D33EB" w:rsidP="003D33EB">
            <w:pPr>
              <w:pStyle w:val="Caption"/>
              <w:rPr>
                <w:color w:val="FF0000"/>
                <w:sz w:val="16"/>
                <w:szCs w:val="16"/>
              </w:rPr>
            </w:pPr>
            <w:r w:rsidRPr="00606EA3">
              <w:rPr>
                <w:color w:val="FF0000"/>
                <w:sz w:val="16"/>
                <w:szCs w:val="16"/>
              </w:rPr>
              <w:t xml:space="preserve">RaaS </w:t>
            </w:r>
            <w:r w:rsidR="002E4472">
              <w:rPr>
                <w:color w:val="FF0000"/>
                <w:sz w:val="16"/>
                <w:szCs w:val="16"/>
              </w:rPr>
              <w:t>C</w:t>
            </w:r>
            <w:r w:rsidRPr="00606EA3">
              <w:rPr>
                <w:color w:val="FF0000"/>
                <w:sz w:val="16"/>
                <w:szCs w:val="16"/>
              </w:rPr>
              <w:t>ontacts</w:t>
            </w:r>
          </w:p>
          <w:tbl>
            <w:tblPr>
              <w:tblStyle w:val="TableGrid"/>
              <w:tblW w:w="3402" w:type="dxa"/>
              <w:tblLayout w:type="fixed"/>
              <w:tblCellMar>
                <w:left w:w="57" w:type="dxa"/>
                <w:right w:w="57" w:type="dxa"/>
              </w:tblCellMar>
              <w:tblLook w:val="04A0" w:firstRow="1" w:lastRow="0" w:firstColumn="1" w:lastColumn="0" w:noHBand="0" w:noVBand="1"/>
            </w:tblPr>
            <w:tblGrid>
              <w:gridCol w:w="1091"/>
              <w:gridCol w:w="71"/>
              <w:gridCol w:w="2240"/>
            </w:tblGrid>
            <w:tr w:rsidR="003D33EB" w14:paraId="1FC09FC5" w14:textId="77777777" w:rsidTr="00031C4A">
              <w:tc>
                <w:tcPr>
                  <w:tcW w:w="1340" w:type="dxa"/>
                  <w:gridSpan w:val="2"/>
                  <w:tcBorders>
                    <w:top w:val="nil"/>
                    <w:left w:val="nil"/>
                    <w:bottom w:val="nil"/>
                    <w:right w:val="nil"/>
                  </w:tcBorders>
                  <w:tcMar>
                    <w:top w:w="57" w:type="dxa"/>
                    <w:bottom w:w="57" w:type="dxa"/>
                  </w:tcMar>
                </w:tcPr>
                <w:p w14:paraId="35203C3E" w14:textId="05BA3E94" w:rsidR="003D33EB" w:rsidRPr="001E0027" w:rsidRDefault="00031C4A" w:rsidP="00166B37">
                  <w:pPr>
                    <w:pStyle w:val="TableTextLeft"/>
                    <w:framePr w:hSpace="181" w:wrap="around" w:vAnchor="text" w:hAnchor="page" w:x="8141" w:y="1"/>
                  </w:pPr>
                  <w:r>
                    <w:t>Andrew Williams</w:t>
                  </w:r>
                </w:p>
              </w:tc>
              <w:tc>
                <w:tcPr>
                  <w:tcW w:w="2608" w:type="dxa"/>
                  <w:tcBorders>
                    <w:top w:val="nil"/>
                    <w:left w:val="nil"/>
                    <w:bottom w:val="nil"/>
                    <w:right w:val="nil"/>
                  </w:tcBorders>
                  <w:tcMar>
                    <w:top w:w="57" w:type="dxa"/>
                    <w:bottom w:w="57" w:type="dxa"/>
                  </w:tcMar>
                </w:tcPr>
                <w:p w14:paraId="30B3EFC4" w14:textId="77777777" w:rsidR="003D33EB" w:rsidRDefault="00750051" w:rsidP="00166B37">
                  <w:pPr>
                    <w:pStyle w:val="TableTextRight"/>
                    <w:framePr w:hSpace="181" w:wrap="around" w:vAnchor="text" w:hAnchor="page" w:x="8141" w:y="1"/>
                    <w:jc w:val="center"/>
                  </w:pPr>
                  <w:r>
                    <w:t xml:space="preserve">             </w:t>
                  </w:r>
                  <w:r w:rsidR="003D33EB" w:rsidRPr="00B27761">
                    <w:t>+</w:t>
                  </w:r>
                  <w:r w:rsidR="003D33EB">
                    <w:t xml:space="preserve">61 </w:t>
                  </w:r>
                  <w:r w:rsidR="001F089C">
                    <w:t>414 354 712</w:t>
                  </w:r>
                </w:p>
                <w:p w14:paraId="0201F27F" w14:textId="1EE180FD" w:rsidR="003D33EB" w:rsidRDefault="00031C4A" w:rsidP="00166B37">
                  <w:pPr>
                    <w:pStyle w:val="TableTextRight"/>
                    <w:framePr w:hSpace="181" w:wrap="around" w:vAnchor="text" w:hAnchor="page" w:x="8141" w:y="1"/>
                    <w:jc w:val="center"/>
                  </w:pPr>
                  <w:r>
                    <w:t>andrew.williams</w:t>
                  </w:r>
                  <w:r w:rsidR="003D33EB">
                    <w:t>@raasgroup.com</w:t>
                  </w:r>
                </w:p>
              </w:tc>
            </w:tr>
            <w:tr w:rsidR="001F089C" w14:paraId="02CD0C88" w14:textId="77777777" w:rsidTr="00031C4A">
              <w:tc>
                <w:tcPr>
                  <w:tcW w:w="1258" w:type="dxa"/>
                  <w:tcBorders>
                    <w:top w:val="nil"/>
                    <w:left w:val="nil"/>
                    <w:bottom w:val="nil"/>
                    <w:right w:val="nil"/>
                  </w:tcBorders>
                  <w:tcMar>
                    <w:top w:w="57" w:type="dxa"/>
                    <w:bottom w:w="57" w:type="dxa"/>
                  </w:tcMar>
                </w:tcPr>
                <w:p w14:paraId="3BBE13CC" w14:textId="228AF944" w:rsidR="001F089C" w:rsidRPr="001E0027" w:rsidRDefault="001F089C" w:rsidP="00166B37">
                  <w:pPr>
                    <w:pStyle w:val="TableTextLeft"/>
                    <w:framePr w:hSpace="181" w:wrap="around" w:vAnchor="text" w:hAnchor="page" w:x="8141" w:y="1"/>
                  </w:pPr>
                </w:p>
              </w:tc>
              <w:tc>
                <w:tcPr>
                  <w:tcW w:w="2608" w:type="dxa"/>
                  <w:gridSpan w:val="2"/>
                  <w:tcBorders>
                    <w:top w:val="nil"/>
                    <w:left w:val="nil"/>
                    <w:bottom w:val="nil"/>
                    <w:right w:val="nil"/>
                  </w:tcBorders>
                  <w:tcMar>
                    <w:top w:w="57" w:type="dxa"/>
                    <w:bottom w:w="57" w:type="dxa"/>
                  </w:tcMar>
                </w:tcPr>
                <w:p w14:paraId="54EC2826" w14:textId="60EA960A" w:rsidR="00C429B7" w:rsidRDefault="00C429B7" w:rsidP="00166B37">
                  <w:pPr>
                    <w:pStyle w:val="TableTextRight"/>
                    <w:framePr w:hSpace="181" w:wrap="around" w:vAnchor="text" w:hAnchor="page" w:x="8141" w:y="1"/>
                    <w:jc w:val="left"/>
                  </w:pPr>
                </w:p>
              </w:tc>
            </w:tr>
            <w:tr w:rsidR="00031C4A" w14:paraId="7AE2BF52" w14:textId="77777777" w:rsidTr="00031C4A">
              <w:tc>
                <w:tcPr>
                  <w:tcW w:w="1340" w:type="dxa"/>
                  <w:gridSpan w:val="2"/>
                  <w:tcBorders>
                    <w:top w:val="nil"/>
                    <w:left w:val="nil"/>
                    <w:bottom w:val="nil"/>
                    <w:right w:val="nil"/>
                  </w:tcBorders>
                  <w:tcMar>
                    <w:top w:w="57" w:type="dxa"/>
                    <w:bottom w:w="57" w:type="dxa"/>
                  </w:tcMar>
                </w:tcPr>
                <w:p w14:paraId="186E5542" w14:textId="77777777" w:rsidR="00031C4A" w:rsidRPr="001E0027" w:rsidRDefault="00031C4A" w:rsidP="00166B37">
                  <w:pPr>
                    <w:pStyle w:val="TableTextLeft"/>
                    <w:framePr w:hSpace="181" w:wrap="around" w:vAnchor="text" w:hAnchor="page" w:x="8141" w:y="1"/>
                  </w:pPr>
                  <w:r>
                    <w:t>Finola Burke</w:t>
                  </w:r>
                </w:p>
              </w:tc>
              <w:tc>
                <w:tcPr>
                  <w:tcW w:w="2608" w:type="dxa"/>
                  <w:tcBorders>
                    <w:top w:val="nil"/>
                    <w:left w:val="nil"/>
                    <w:bottom w:val="nil"/>
                    <w:right w:val="nil"/>
                  </w:tcBorders>
                  <w:tcMar>
                    <w:top w:w="57" w:type="dxa"/>
                    <w:bottom w:w="57" w:type="dxa"/>
                  </w:tcMar>
                </w:tcPr>
                <w:p w14:paraId="5BC970A9" w14:textId="77777777" w:rsidR="00031C4A" w:rsidRDefault="00031C4A" w:rsidP="00166B37">
                  <w:pPr>
                    <w:pStyle w:val="TableTextRight"/>
                    <w:framePr w:hSpace="181" w:wrap="around" w:vAnchor="text" w:hAnchor="page" w:x="8141" w:y="1"/>
                    <w:jc w:val="center"/>
                  </w:pPr>
                  <w:r>
                    <w:t xml:space="preserve">             </w:t>
                  </w:r>
                  <w:r w:rsidRPr="00B27761">
                    <w:t>+</w:t>
                  </w:r>
                  <w:r>
                    <w:t>61 414 354 712</w:t>
                  </w:r>
                </w:p>
                <w:p w14:paraId="59F3D943" w14:textId="56C51DF9" w:rsidR="00031C4A" w:rsidRDefault="005908F1" w:rsidP="00166B37">
                  <w:pPr>
                    <w:pStyle w:val="TableTextRight"/>
                    <w:framePr w:hSpace="181" w:wrap="around" w:vAnchor="text" w:hAnchor="page" w:x="8141" w:y="1"/>
                    <w:jc w:val="center"/>
                  </w:pPr>
                  <w:r>
                    <w:t xml:space="preserve">     </w:t>
                  </w:r>
                  <w:r w:rsidR="00031C4A">
                    <w:t>finola.burke@raasgroup.com</w:t>
                  </w:r>
                </w:p>
              </w:tc>
            </w:tr>
          </w:tbl>
          <w:p w14:paraId="0F665EE7" w14:textId="77777777" w:rsidR="009D5FC6" w:rsidRPr="00C242F5" w:rsidRDefault="009D5FC6" w:rsidP="00C242F5"/>
        </w:tc>
      </w:tr>
    </w:tbl>
    <w:bookmarkEnd w:id="0"/>
    <w:p w14:paraId="4F34D990" w14:textId="0E798C41" w:rsidR="0002198C" w:rsidRPr="0002198C" w:rsidRDefault="00904014" w:rsidP="00CD1B70">
      <w:pPr>
        <w:pStyle w:val="Heading2"/>
        <w:spacing w:before="0"/>
        <w:rPr>
          <w:sz w:val="40"/>
          <w:szCs w:val="40"/>
        </w:rPr>
      </w:pPr>
      <w:proofErr w:type="spellStart"/>
      <w:r>
        <w:rPr>
          <w:sz w:val="40"/>
          <w:szCs w:val="40"/>
        </w:rPr>
        <w:t>QMines</w:t>
      </w:r>
      <w:proofErr w:type="spellEnd"/>
      <w:r w:rsidR="00174B3D">
        <w:rPr>
          <w:sz w:val="40"/>
          <w:szCs w:val="40"/>
        </w:rPr>
        <w:t xml:space="preserve"> </w:t>
      </w:r>
      <w:r w:rsidR="000E40C3">
        <w:rPr>
          <w:sz w:val="40"/>
          <w:szCs w:val="40"/>
        </w:rPr>
        <w:t>Limited</w:t>
      </w:r>
    </w:p>
    <w:p w14:paraId="398B47A6" w14:textId="538888F2" w:rsidR="007F0F77" w:rsidRPr="00DB34C7" w:rsidRDefault="00DB6B1F" w:rsidP="006D6794">
      <w:pPr>
        <w:pStyle w:val="Heading2"/>
        <w:rPr>
          <w:sz w:val="30"/>
          <w:szCs w:val="30"/>
        </w:rPr>
      </w:pPr>
      <w:r>
        <w:rPr>
          <w:sz w:val="30"/>
          <w:szCs w:val="30"/>
        </w:rPr>
        <w:t>Aimi</w:t>
      </w:r>
      <w:r w:rsidR="00193CA0">
        <w:rPr>
          <w:sz w:val="30"/>
          <w:szCs w:val="30"/>
        </w:rPr>
        <w:t xml:space="preserve">ng to become </w:t>
      </w:r>
      <w:r>
        <w:rPr>
          <w:sz w:val="30"/>
          <w:szCs w:val="30"/>
        </w:rPr>
        <w:t xml:space="preserve">Qld’s </w:t>
      </w:r>
      <w:r w:rsidR="00844628">
        <w:rPr>
          <w:sz w:val="30"/>
          <w:szCs w:val="30"/>
        </w:rPr>
        <w:t>next copper</w:t>
      </w:r>
      <w:r>
        <w:rPr>
          <w:sz w:val="30"/>
          <w:szCs w:val="30"/>
        </w:rPr>
        <w:t xml:space="preserve"> &amp;</w:t>
      </w:r>
      <w:r w:rsidR="000E40C3">
        <w:rPr>
          <w:sz w:val="30"/>
          <w:szCs w:val="30"/>
        </w:rPr>
        <w:t xml:space="preserve"> gold </w:t>
      </w:r>
      <w:r>
        <w:rPr>
          <w:sz w:val="30"/>
          <w:szCs w:val="30"/>
        </w:rPr>
        <w:t>d</w:t>
      </w:r>
      <w:r w:rsidR="000E40C3">
        <w:rPr>
          <w:sz w:val="30"/>
          <w:szCs w:val="30"/>
        </w:rPr>
        <w:t>eveloper</w:t>
      </w:r>
    </w:p>
    <w:p w14:paraId="271A567D" w14:textId="317FD768" w:rsidR="00711423" w:rsidRDefault="00193CA0" w:rsidP="00711423">
      <w:pPr>
        <w:pStyle w:val="IntroText"/>
        <w:pBdr>
          <w:left w:val="single" w:sz="8" w:space="0" w:color="EEECE1" w:themeColor="background2"/>
          <w:bottom w:val="single" w:sz="8" w:space="0" w:color="EEECE1" w:themeColor="background2"/>
        </w:pBdr>
        <w:spacing w:after="0" w:line="276" w:lineRule="auto"/>
        <w:jc w:val="both"/>
        <w:rPr>
          <w:sz w:val="24"/>
          <w:szCs w:val="24"/>
        </w:rPr>
      </w:pPr>
      <w:r>
        <w:rPr>
          <w:rFonts w:eastAsia="Times New Roman" w:cs="Arial"/>
        </w:rPr>
        <w:t xml:space="preserve">QMines </w:t>
      </w:r>
      <w:r w:rsidR="000E40C3">
        <w:rPr>
          <w:rFonts w:eastAsia="Times New Roman" w:cs="Arial"/>
        </w:rPr>
        <w:t xml:space="preserve">Limited </w:t>
      </w:r>
      <w:r>
        <w:rPr>
          <w:rFonts w:eastAsia="Times New Roman" w:cs="Arial"/>
        </w:rPr>
        <w:t xml:space="preserve">is </w:t>
      </w:r>
      <w:r w:rsidR="00E56E3E">
        <w:rPr>
          <w:rFonts w:eastAsia="Times New Roman" w:cs="Arial"/>
        </w:rPr>
        <w:t xml:space="preserve">a soon to be listed </w:t>
      </w:r>
      <w:r w:rsidR="00A148FD" w:rsidRPr="00E56887">
        <w:rPr>
          <w:rFonts w:eastAsia="Times New Roman" w:cs="Arial"/>
        </w:rPr>
        <w:t xml:space="preserve">Australian </w:t>
      </w:r>
      <w:r w:rsidR="00B8035F">
        <w:rPr>
          <w:rFonts w:eastAsia="Times New Roman" w:cs="Arial"/>
        </w:rPr>
        <w:t xml:space="preserve">copper-gold explorer </w:t>
      </w:r>
      <w:r w:rsidR="00ED72DC">
        <w:rPr>
          <w:rFonts w:eastAsia="Times New Roman" w:cs="Arial"/>
        </w:rPr>
        <w:t xml:space="preserve">focused on four </w:t>
      </w:r>
      <w:r w:rsidR="000E40C3">
        <w:rPr>
          <w:rFonts w:eastAsia="Times New Roman" w:cs="Arial"/>
        </w:rPr>
        <w:t xml:space="preserve">projects </w:t>
      </w:r>
      <w:r w:rsidR="00ED72DC">
        <w:rPr>
          <w:rFonts w:eastAsia="Times New Roman" w:cs="Arial"/>
        </w:rPr>
        <w:t xml:space="preserve">in Queensland. </w:t>
      </w:r>
      <w:r w:rsidR="00E7445F">
        <w:rPr>
          <w:rFonts w:eastAsia="Times New Roman" w:cs="Arial"/>
        </w:rPr>
        <w:t xml:space="preserve">The company </w:t>
      </w:r>
      <w:r w:rsidR="00D57B1C">
        <w:rPr>
          <w:rFonts w:eastAsia="Times New Roman" w:cs="Arial"/>
        </w:rPr>
        <w:t xml:space="preserve">is </w:t>
      </w:r>
      <w:r w:rsidR="006B5B34">
        <w:rPr>
          <w:rFonts w:eastAsia="Times New Roman" w:cs="Arial"/>
        </w:rPr>
        <w:t xml:space="preserve">currently undertaking an </w:t>
      </w:r>
      <w:r w:rsidR="00036FC5">
        <w:rPr>
          <w:rFonts w:eastAsia="Times New Roman" w:cs="Arial"/>
        </w:rPr>
        <w:t xml:space="preserve">initial public offering of 33.33m shares at $0.30/share to raise </w:t>
      </w:r>
      <w:r w:rsidR="000E40C3">
        <w:rPr>
          <w:rFonts w:eastAsia="Times New Roman" w:cs="Arial"/>
        </w:rPr>
        <w:t xml:space="preserve">a minimum of </w:t>
      </w:r>
      <w:r w:rsidR="00036FC5">
        <w:rPr>
          <w:rFonts w:eastAsia="Times New Roman" w:cs="Arial"/>
        </w:rPr>
        <w:t>$10m</w:t>
      </w:r>
      <w:r w:rsidR="000E40C3">
        <w:rPr>
          <w:rFonts w:eastAsia="Times New Roman" w:cs="Arial"/>
        </w:rPr>
        <w:t xml:space="preserve">. </w:t>
      </w:r>
      <w:r w:rsidR="004500AE">
        <w:rPr>
          <w:rFonts w:eastAsia="Times New Roman" w:cs="Arial"/>
        </w:rPr>
        <w:t>QMines was established in August 2020, a</w:t>
      </w:r>
      <w:r w:rsidR="00DF3B64">
        <w:rPr>
          <w:rFonts w:eastAsia="Times New Roman" w:cs="Arial"/>
        </w:rPr>
        <w:t>cquiring 100% of the shares in Traprock Resources</w:t>
      </w:r>
      <w:r w:rsidR="00102B33">
        <w:rPr>
          <w:rFonts w:eastAsia="Times New Roman" w:cs="Arial"/>
        </w:rPr>
        <w:t xml:space="preserve"> Pty Ltd</w:t>
      </w:r>
      <w:r w:rsidR="00DF3B64">
        <w:rPr>
          <w:rFonts w:eastAsia="Times New Roman" w:cs="Arial"/>
        </w:rPr>
        <w:t>, which in turn owned 100% of Dynasty Gold</w:t>
      </w:r>
      <w:r w:rsidR="00102B33">
        <w:rPr>
          <w:rFonts w:eastAsia="Times New Roman" w:cs="Arial"/>
        </w:rPr>
        <w:t xml:space="preserve"> Pty Ltd</w:t>
      </w:r>
      <w:r w:rsidR="00DF3B64">
        <w:rPr>
          <w:rFonts w:eastAsia="Times New Roman" w:cs="Arial"/>
        </w:rPr>
        <w:t xml:space="preserve">. </w:t>
      </w:r>
      <w:r w:rsidR="00D46A99">
        <w:rPr>
          <w:rFonts w:eastAsia="Times New Roman" w:cs="Arial"/>
        </w:rPr>
        <w:t>The acquisition delivered exploration permits over fou</w:t>
      </w:r>
      <w:r w:rsidR="00DC1843">
        <w:rPr>
          <w:rFonts w:eastAsia="Times New Roman" w:cs="Arial"/>
        </w:rPr>
        <w:t xml:space="preserve">r copper, gold, and base metals projects in Queensland. </w:t>
      </w:r>
      <w:r w:rsidR="00D237FC">
        <w:rPr>
          <w:rFonts w:eastAsia="Times New Roman" w:cs="Arial"/>
        </w:rPr>
        <w:t xml:space="preserve">QMines subsequently acquired </w:t>
      </w:r>
      <w:r w:rsidR="007F08B3">
        <w:rPr>
          <w:rFonts w:eastAsia="Times New Roman" w:cs="Arial"/>
        </w:rPr>
        <w:t>100% of Rocky Copper</w:t>
      </w:r>
      <w:r w:rsidR="00102B33">
        <w:rPr>
          <w:rFonts w:eastAsia="Times New Roman" w:cs="Arial"/>
        </w:rPr>
        <w:t xml:space="preserve"> Pty Ltd</w:t>
      </w:r>
      <w:r w:rsidR="0011245F">
        <w:rPr>
          <w:rFonts w:eastAsia="Times New Roman" w:cs="Arial"/>
        </w:rPr>
        <w:t xml:space="preserve"> which holds one exploration permit and one exploration permit application over </w:t>
      </w:r>
      <w:r w:rsidR="00401C93">
        <w:rPr>
          <w:rFonts w:eastAsia="Times New Roman" w:cs="Arial"/>
        </w:rPr>
        <w:t>the compan</w:t>
      </w:r>
      <w:r w:rsidR="003C7AEA">
        <w:rPr>
          <w:rFonts w:eastAsia="Times New Roman" w:cs="Arial"/>
        </w:rPr>
        <w:t>y’s flagship Mt Chalmers project</w:t>
      </w:r>
      <w:r w:rsidR="00335C7D">
        <w:rPr>
          <w:rFonts w:eastAsia="Times New Roman" w:cs="Arial"/>
        </w:rPr>
        <w:t xml:space="preserve"> near Rockhampton in Queensland</w:t>
      </w:r>
      <w:r w:rsidR="003C7AEA">
        <w:rPr>
          <w:rFonts w:eastAsia="Times New Roman" w:cs="Arial"/>
        </w:rPr>
        <w:t xml:space="preserve">. </w:t>
      </w:r>
      <w:r w:rsidR="00C21A42">
        <w:rPr>
          <w:rFonts w:eastAsia="Times New Roman" w:cs="Arial"/>
        </w:rPr>
        <w:t xml:space="preserve">The company plans to use the proceeds from its IPO to </w:t>
      </w:r>
      <w:r w:rsidR="007B2A2B">
        <w:rPr>
          <w:rFonts w:eastAsia="Times New Roman" w:cs="Arial"/>
        </w:rPr>
        <w:t>evaluate</w:t>
      </w:r>
      <w:r w:rsidR="0071045F">
        <w:rPr>
          <w:rFonts w:eastAsia="Times New Roman" w:cs="Arial"/>
        </w:rPr>
        <w:t xml:space="preserve"> three </w:t>
      </w:r>
      <w:r w:rsidR="000E40C3">
        <w:rPr>
          <w:rFonts w:eastAsia="Times New Roman" w:cs="Arial"/>
        </w:rPr>
        <w:t>E</w:t>
      </w:r>
      <w:r w:rsidR="0071045F">
        <w:rPr>
          <w:rFonts w:eastAsia="Times New Roman" w:cs="Arial"/>
        </w:rPr>
        <w:t xml:space="preserve">xploration </w:t>
      </w:r>
      <w:r w:rsidR="000E40C3">
        <w:rPr>
          <w:rFonts w:eastAsia="Times New Roman" w:cs="Arial"/>
        </w:rPr>
        <w:t>T</w:t>
      </w:r>
      <w:r w:rsidR="0071045F">
        <w:rPr>
          <w:rFonts w:eastAsia="Times New Roman" w:cs="Arial"/>
        </w:rPr>
        <w:t xml:space="preserve">argets </w:t>
      </w:r>
      <w:r w:rsidR="000E40C3">
        <w:rPr>
          <w:rFonts w:eastAsia="Times New Roman" w:cs="Arial"/>
        </w:rPr>
        <w:t xml:space="preserve">(JORC 2012) </w:t>
      </w:r>
      <w:r w:rsidR="0071045F">
        <w:rPr>
          <w:rFonts w:eastAsia="Times New Roman" w:cs="Arial"/>
        </w:rPr>
        <w:t xml:space="preserve">and </w:t>
      </w:r>
      <w:r w:rsidR="000E40C3">
        <w:rPr>
          <w:rFonts w:eastAsia="Times New Roman" w:cs="Arial"/>
        </w:rPr>
        <w:t xml:space="preserve">a number of </w:t>
      </w:r>
      <w:r w:rsidR="0071045F">
        <w:rPr>
          <w:rFonts w:eastAsia="Times New Roman" w:cs="Arial"/>
        </w:rPr>
        <w:t>additional drill targets at Mt Chalmers.</w:t>
      </w:r>
    </w:p>
    <w:p w14:paraId="3188F2E3" w14:textId="77777777" w:rsidR="00102B33" w:rsidRDefault="00102B33" w:rsidP="00F2624D">
      <w:pPr>
        <w:pStyle w:val="Heading2"/>
        <w:spacing w:before="0" w:after="0"/>
        <w:rPr>
          <w:sz w:val="24"/>
          <w:szCs w:val="24"/>
        </w:rPr>
      </w:pPr>
    </w:p>
    <w:p w14:paraId="5FDB3D1C" w14:textId="5B218F72" w:rsidR="0031505C" w:rsidRDefault="00F475D7" w:rsidP="00F2624D">
      <w:pPr>
        <w:pStyle w:val="Heading2"/>
        <w:spacing w:before="0" w:after="0"/>
        <w:rPr>
          <w:sz w:val="24"/>
          <w:szCs w:val="24"/>
        </w:rPr>
      </w:pPr>
      <w:r>
        <w:rPr>
          <w:sz w:val="24"/>
          <w:szCs w:val="24"/>
        </w:rPr>
        <w:t>T</w:t>
      </w:r>
      <w:r w:rsidR="003C2D99">
        <w:rPr>
          <w:sz w:val="24"/>
          <w:szCs w:val="24"/>
        </w:rPr>
        <w:t>he Project</w:t>
      </w:r>
      <w:r w:rsidR="00973355">
        <w:rPr>
          <w:sz w:val="24"/>
          <w:szCs w:val="24"/>
        </w:rPr>
        <w:t>s</w:t>
      </w:r>
    </w:p>
    <w:p w14:paraId="620B0924" w14:textId="1205720C" w:rsidR="00895455" w:rsidRDefault="001A6774" w:rsidP="000F167C">
      <w:pPr>
        <w:pStyle w:val="Heading2"/>
        <w:spacing w:before="0" w:after="0"/>
        <w:jc w:val="both"/>
        <w:rPr>
          <w:rFonts w:asciiTheme="minorHAnsi" w:hAnsiTheme="minorHAnsi" w:cstheme="minorBidi"/>
          <w:b w:val="0"/>
          <w:kern w:val="0"/>
          <w:sz w:val="18"/>
        </w:rPr>
      </w:pPr>
      <w:r>
        <w:rPr>
          <w:rFonts w:asciiTheme="minorHAnsi" w:hAnsiTheme="minorHAnsi" w:cstheme="minorBidi"/>
          <w:b w:val="0"/>
          <w:kern w:val="0"/>
          <w:sz w:val="18"/>
        </w:rPr>
        <w:t>The company has four advanced copper and gold projects in Queensland. Its flagship project, Mt Chalmers, is located 17km north east of Rockhampt</w:t>
      </w:r>
      <w:r w:rsidR="00427BA2">
        <w:rPr>
          <w:rFonts w:asciiTheme="minorHAnsi" w:hAnsiTheme="minorHAnsi" w:cstheme="minorBidi"/>
          <w:b w:val="0"/>
          <w:kern w:val="0"/>
          <w:sz w:val="18"/>
        </w:rPr>
        <w:t xml:space="preserve">on and was mined sporadically from 1898 to 1982, producing 1.24Mt </w:t>
      </w:r>
      <w:r w:rsidR="000E40C3">
        <w:rPr>
          <w:rFonts w:asciiTheme="minorHAnsi" w:hAnsiTheme="minorHAnsi" w:cstheme="minorBidi"/>
          <w:b w:val="0"/>
          <w:kern w:val="0"/>
          <w:sz w:val="18"/>
        </w:rPr>
        <w:t xml:space="preserve">@ </w:t>
      </w:r>
      <w:r w:rsidR="00427BA2">
        <w:rPr>
          <w:rFonts w:asciiTheme="minorHAnsi" w:hAnsiTheme="minorHAnsi" w:cstheme="minorBidi"/>
          <w:b w:val="0"/>
          <w:kern w:val="0"/>
          <w:sz w:val="18"/>
        </w:rPr>
        <w:t xml:space="preserve">3.6g/t Au, 2.0% Cu and 19g/t Ag. </w:t>
      </w:r>
      <w:r w:rsidR="00643998">
        <w:rPr>
          <w:rFonts w:asciiTheme="minorHAnsi" w:hAnsiTheme="minorHAnsi" w:cstheme="minorBidi"/>
          <w:b w:val="0"/>
          <w:kern w:val="0"/>
          <w:sz w:val="18"/>
        </w:rPr>
        <w:t xml:space="preserve">The </w:t>
      </w:r>
      <w:r w:rsidR="000E40C3">
        <w:rPr>
          <w:rFonts w:asciiTheme="minorHAnsi" w:hAnsiTheme="minorHAnsi" w:cstheme="minorBidi"/>
          <w:b w:val="0"/>
          <w:kern w:val="0"/>
          <w:sz w:val="18"/>
        </w:rPr>
        <w:t xml:space="preserve">company has </w:t>
      </w:r>
      <w:r w:rsidR="007A14EB">
        <w:rPr>
          <w:rFonts w:asciiTheme="minorHAnsi" w:hAnsiTheme="minorHAnsi" w:cstheme="minorBidi"/>
          <w:b w:val="0"/>
          <w:kern w:val="0"/>
          <w:sz w:val="18"/>
        </w:rPr>
        <w:t xml:space="preserve">published </w:t>
      </w:r>
      <w:r w:rsidR="000E40C3">
        <w:rPr>
          <w:rFonts w:asciiTheme="minorHAnsi" w:hAnsiTheme="minorHAnsi" w:cstheme="minorBidi"/>
          <w:b w:val="0"/>
          <w:kern w:val="0"/>
          <w:sz w:val="18"/>
        </w:rPr>
        <w:t xml:space="preserve">an </w:t>
      </w:r>
      <w:r w:rsidR="00643998">
        <w:rPr>
          <w:rFonts w:asciiTheme="minorHAnsi" w:hAnsiTheme="minorHAnsi" w:cstheme="minorBidi"/>
          <w:b w:val="0"/>
          <w:kern w:val="0"/>
          <w:sz w:val="18"/>
        </w:rPr>
        <w:t xml:space="preserve">Inferred Resource </w:t>
      </w:r>
      <w:r w:rsidR="007A14EB">
        <w:rPr>
          <w:rFonts w:asciiTheme="minorHAnsi" w:hAnsiTheme="minorHAnsi" w:cstheme="minorBidi"/>
          <w:b w:val="0"/>
          <w:kern w:val="0"/>
          <w:sz w:val="18"/>
        </w:rPr>
        <w:t>(JORC</w:t>
      </w:r>
      <w:r w:rsidR="00643998">
        <w:rPr>
          <w:rFonts w:asciiTheme="minorHAnsi" w:hAnsiTheme="minorHAnsi" w:cstheme="minorBidi"/>
          <w:b w:val="0"/>
          <w:kern w:val="0"/>
          <w:sz w:val="18"/>
        </w:rPr>
        <w:t xml:space="preserve"> 2012</w:t>
      </w:r>
      <w:r w:rsidR="000E40C3">
        <w:rPr>
          <w:rFonts w:asciiTheme="minorHAnsi" w:hAnsiTheme="minorHAnsi" w:cstheme="minorBidi"/>
          <w:b w:val="0"/>
          <w:kern w:val="0"/>
          <w:sz w:val="18"/>
        </w:rPr>
        <w:t>)</w:t>
      </w:r>
      <w:r w:rsidR="00643998">
        <w:rPr>
          <w:rFonts w:asciiTheme="minorHAnsi" w:hAnsiTheme="minorHAnsi" w:cstheme="minorBidi"/>
          <w:b w:val="0"/>
          <w:kern w:val="0"/>
          <w:sz w:val="18"/>
        </w:rPr>
        <w:t xml:space="preserve"> </w:t>
      </w:r>
      <w:r w:rsidR="000E40C3">
        <w:rPr>
          <w:rFonts w:asciiTheme="minorHAnsi" w:hAnsiTheme="minorHAnsi" w:cstheme="minorBidi"/>
          <w:b w:val="0"/>
          <w:kern w:val="0"/>
          <w:sz w:val="18"/>
        </w:rPr>
        <w:t xml:space="preserve">of </w:t>
      </w:r>
      <w:r w:rsidR="00643998">
        <w:rPr>
          <w:rFonts w:asciiTheme="minorHAnsi" w:hAnsiTheme="minorHAnsi" w:cstheme="minorBidi"/>
          <w:b w:val="0"/>
          <w:kern w:val="0"/>
          <w:sz w:val="18"/>
        </w:rPr>
        <w:t xml:space="preserve">3.9Mt </w:t>
      </w:r>
      <w:r w:rsidR="000E40C3">
        <w:rPr>
          <w:rFonts w:asciiTheme="minorHAnsi" w:hAnsiTheme="minorHAnsi" w:cstheme="minorBidi"/>
          <w:b w:val="0"/>
          <w:kern w:val="0"/>
          <w:sz w:val="18"/>
        </w:rPr>
        <w:t xml:space="preserve">@ 1.15% Cu, </w:t>
      </w:r>
      <w:r w:rsidR="00717F69">
        <w:rPr>
          <w:rFonts w:asciiTheme="minorHAnsi" w:hAnsiTheme="minorHAnsi" w:cstheme="minorBidi"/>
          <w:b w:val="0"/>
          <w:kern w:val="0"/>
          <w:sz w:val="18"/>
        </w:rPr>
        <w:t>0.81g/t Au</w:t>
      </w:r>
      <w:r w:rsidR="00102B33">
        <w:rPr>
          <w:rFonts w:asciiTheme="minorHAnsi" w:hAnsiTheme="minorHAnsi" w:cstheme="minorBidi"/>
          <w:b w:val="0"/>
          <w:kern w:val="0"/>
          <w:sz w:val="18"/>
        </w:rPr>
        <w:t xml:space="preserve"> </w:t>
      </w:r>
      <w:r w:rsidR="00717F69">
        <w:rPr>
          <w:rFonts w:asciiTheme="minorHAnsi" w:hAnsiTheme="minorHAnsi" w:cstheme="minorBidi"/>
          <w:b w:val="0"/>
          <w:kern w:val="0"/>
          <w:sz w:val="18"/>
        </w:rPr>
        <w:t>and 8</w:t>
      </w:r>
      <w:r w:rsidR="0071045F">
        <w:rPr>
          <w:rFonts w:asciiTheme="minorHAnsi" w:hAnsiTheme="minorHAnsi" w:cstheme="minorBidi"/>
          <w:b w:val="0"/>
          <w:kern w:val="0"/>
          <w:sz w:val="18"/>
        </w:rPr>
        <w:t>.</w:t>
      </w:r>
      <w:r w:rsidR="00717F69">
        <w:rPr>
          <w:rFonts w:asciiTheme="minorHAnsi" w:hAnsiTheme="minorHAnsi" w:cstheme="minorBidi"/>
          <w:b w:val="0"/>
          <w:kern w:val="0"/>
          <w:sz w:val="18"/>
        </w:rPr>
        <w:t xml:space="preserve">4g/t Ag. </w:t>
      </w:r>
      <w:r w:rsidR="00294225">
        <w:rPr>
          <w:rFonts w:asciiTheme="minorHAnsi" w:hAnsiTheme="minorHAnsi" w:cstheme="minorBidi"/>
          <w:b w:val="0"/>
          <w:kern w:val="0"/>
          <w:sz w:val="18"/>
        </w:rPr>
        <w:t xml:space="preserve">The company </w:t>
      </w:r>
      <w:r w:rsidR="0078300D">
        <w:rPr>
          <w:rFonts w:asciiTheme="minorHAnsi" w:hAnsiTheme="minorHAnsi" w:cstheme="minorBidi"/>
          <w:b w:val="0"/>
          <w:kern w:val="0"/>
          <w:sz w:val="18"/>
        </w:rPr>
        <w:t xml:space="preserve">views Mt Chalmers as a brownfield opportunity with the potential to rapidly </w:t>
      </w:r>
      <w:r w:rsidR="00FE6EE5">
        <w:rPr>
          <w:rFonts w:asciiTheme="minorHAnsi" w:hAnsiTheme="minorHAnsi" w:cstheme="minorBidi"/>
          <w:b w:val="0"/>
          <w:kern w:val="0"/>
          <w:sz w:val="18"/>
        </w:rPr>
        <w:t xml:space="preserve">expand and upgrade the existing resource with the </w:t>
      </w:r>
      <w:r w:rsidR="00294225">
        <w:rPr>
          <w:rFonts w:asciiTheme="minorHAnsi" w:hAnsiTheme="minorHAnsi" w:cstheme="minorBidi"/>
          <w:b w:val="0"/>
          <w:kern w:val="0"/>
          <w:sz w:val="18"/>
        </w:rPr>
        <w:t xml:space="preserve">focus on three </w:t>
      </w:r>
      <w:r w:rsidR="000E40C3">
        <w:rPr>
          <w:rFonts w:asciiTheme="minorHAnsi" w:hAnsiTheme="minorHAnsi" w:cstheme="minorBidi"/>
          <w:b w:val="0"/>
          <w:kern w:val="0"/>
          <w:sz w:val="18"/>
        </w:rPr>
        <w:t>E</w:t>
      </w:r>
      <w:r w:rsidR="00294225">
        <w:rPr>
          <w:rFonts w:asciiTheme="minorHAnsi" w:hAnsiTheme="minorHAnsi" w:cstheme="minorBidi"/>
          <w:b w:val="0"/>
          <w:kern w:val="0"/>
          <w:sz w:val="18"/>
        </w:rPr>
        <w:t xml:space="preserve">xploration </w:t>
      </w:r>
      <w:r w:rsidR="000E40C3">
        <w:rPr>
          <w:rFonts w:asciiTheme="minorHAnsi" w:hAnsiTheme="minorHAnsi" w:cstheme="minorBidi"/>
          <w:b w:val="0"/>
          <w:kern w:val="0"/>
          <w:sz w:val="18"/>
        </w:rPr>
        <w:t>T</w:t>
      </w:r>
      <w:r w:rsidR="00294225">
        <w:rPr>
          <w:rFonts w:asciiTheme="minorHAnsi" w:hAnsiTheme="minorHAnsi" w:cstheme="minorBidi"/>
          <w:b w:val="0"/>
          <w:kern w:val="0"/>
          <w:sz w:val="18"/>
        </w:rPr>
        <w:t>argets</w:t>
      </w:r>
      <w:r w:rsidR="00FE6EE5">
        <w:rPr>
          <w:rFonts w:asciiTheme="minorHAnsi" w:hAnsiTheme="minorHAnsi" w:cstheme="minorBidi"/>
          <w:b w:val="0"/>
          <w:kern w:val="0"/>
          <w:sz w:val="18"/>
        </w:rPr>
        <w:t xml:space="preserve"> </w:t>
      </w:r>
      <w:r w:rsidR="00294225">
        <w:rPr>
          <w:rFonts w:asciiTheme="minorHAnsi" w:hAnsiTheme="minorHAnsi" w:cstheme="minorBidi"/>
          <w:b w:val="0"/>
          <w:kern w:val="0"/>
          <w:sz w:val="18"/>
        </w:rPr>
        <w:t>– Woods Shaft, Botos and Mt Warminster</w:t>
      </w:r>
      <w:r w:rsidR="00FE6EE5">
        <w:rPr>
          <w:rFonts w:asciiTheme="minorHAnsi" w:hAnsiTheme="minorHAnsi" w:cstheme="minorBidi"/>
          <w:b w:val="0"/>
          <w:kern w:val="0"/>
          <w:sz w:val="18"/>
        </w:rPr>
        <w:t xml:space="preserve">. </w:t>
      </w:r>
      <w:proofErr w:type="spellStart"/>
      <w:r w:rsidR="00FE6EE5">
        <w:rPr>
          <w:rFonts w:asciiTheme="minorHAnsi" w:hAnsiTheme="minorHAnsi" w:cstheme="minorBidi"/>
          <w:b w:val="0"/>
          <w:kern w:val="0"/>
          <w:sz w:val="18"/>
        </w:rPr>
        <w:t>QMines</w:t>
      </w:r>
      <w:proofErr w:type="spellEnd"/>
      <w:r w:rsidR="00FE6EE5">
        <w:rPr>
          <w:rFonts w:asciiTheme="minorHAnsi" w:hAnsiTheme="minorHAnsi" w:cstheme="minorBidi"/>
          <w:b w:val="0"/>
          <w:kern w:val="0"/>
          <w:sz w:val="18"/>
        </w:rPr>
        <w:t>’ other pro</w:t>
      </w:r>
      <w:r w:rsidR="009D1E22">
        <w:rPr>
          <w:rFonts w:asciiTheme="minorHAnsi" w:hAnsiTheme="minorHAnsi" w:cstheme="minorBidi"/>
          <w:b w:val="0"/>
          <w:kern w:val="0"/>
          <w:sz w:val="18"/>
        </w:rPr>
        <w:t xml:space="preserve">spects, </w:t>
      </w:r>
      <w:r w:rsidR="007A14EB">
        <w:rPr>
          <w:rFonts w:asciiTheme="minorHAnsi" w:hAnsiTheme="minorHAnsi" w:cstheme="minorBidi"/>
          <w:b w:val="0"/>
          <w:kern w:val="0"/>
          <w:sz w:val="18"/>
        </w:rPr>
        <w:t>Silverwood, Warroo</w:t>
      </w:r>
      <w:r w:rsidR="00B37655">
        <w:rPr>
          <w:rFonts w:asciiTheme="minorHAnsi" w:hAnsiTheme="minorHAnsi" w:cstheme="minorBidi"/>
          <w:b w:val="0"/>
          <w:kern w:val="0"/>
          <w:sz w:val="18"/>
        </w:rPr>
        <w:t xml:space="preserve"> and Herries Range, </w:t>
      </w:r>
      <w:r w:rsidR="00FE6EE5">
        <w:rPr>
          <w:rFonts w:asciiTheme="minorHAnsi" w:hAnsiTheme="minorHAnsi" w:cstheme="minorBidi"/>
          <w:b w:val="0"/>
          <w:kern w:val="0"/>
          <w:sz w:val="18"/>
        </w:rPr>
        <w:t>are situated in southern Queensland near the regional centre of Warwick.</w:t>
      </w:r>
      <w:r w:rsidR="007D141A">
        <w:rPr>
          <w:rFonts w:asciiTheme="minorHAnsi" w:hAnsiTheme="minorHAnsi" w:cstheme="minorBidi"/>
          <w:b w:val="0"/>
          <w:kern w:val="0"/>
          <w:sz w:val="18"/>
        </w:rPr>
        <w:t xml:space="preserve"> </w:t>
      </w:r>
      <w:r w:rsidR="00E652B3">
        <w:rPr>
          <w:rFonts w:asciiTheme="minorHAnsi" w:hAnsiTheme="minorHAnsi" w:cstheme="minorBidi"/>
          <w:b w:val="0"/>
          <w:kern w:val="0"/>
          <w:sz w:val="18"/>
        </w:rPr>
        <w:t>Warroo has historically been mined</w:t>
      </w:r>
      <w:r w:rsidR="00117430">
        <w:rPr>
          <w:rFonts w:asciiTheme="minorHAnsi" w:hAnsiTheme="minorHAnsi" w:cstheme="minorBidi"/>
          <w:b w:val="0"/>
          <w:kern w:val="0"/>
          <w:sz w:val="18"/>
        </w:rPr>
        <w:t xml:space="preserve">, producing </w:t>
      </w:r>
      <w:r w:rsidR="000E7B72">
        <w:rPr>
          <w:rFonts w:asciiTheme="minorHAnsi" w:hAnsiTheme="minorHAnsi" w:cstheme="minorBidi"/>
          <w:b w:val="0"/>
          <w:kern w:val="0"/>
          <w:sz w:val="18"/>
        </w:rPr>
        <w:t>21t of copper, 283oz of gold and 901oz of silver from 1910 to 1911</w:t>
      </w:r>
      <w:r w:rsidR="000E40C3">
        <w:rPr>
          <w:rFonts w:asciiTheme="minorHAnsi" w:hAnsiTheme="minorHAnsi" w:cstheme="minorBidi"/>
          <w:b w:val="0"/>
          <w:kern w:val="0"/>
          <w:sz w:val="18"/>
        </w:rPr>
        <w:t xml:space="preserve"> and</w:t>
      </w:r>
      <w:r w:rsidR="00306556">
        <w:rPr>
          <w:rFonts w:asciiTheme="minorHAnsi" w:hAnsiTheme="minorHAnsi" w:cstheme="minorBidi"/>
          <w:b w:val="0"/>
          <w:kern w:val="0"/>
          <w:sz w:val="18"/>
        </w:rPr>
        <w:t xml:space="preserve"> a further 923oz of gold from 1912-1913</w:t>
      </w:r>
      <w:r w:rsidR="008E6B59">
        <w:rPr>
          <w:rFonts w:asciiTheme="minorHAnsi" w:hAnsiTheme="minorHAnsi" w:cstheme="minorBidi"/>
          <w:b w:val="0"/>
          <w:kern w:val="0"/>
          <w:sz w:val="18"/>
        </w:rPr>
        <w:t>.</w:t>
      </w:r>
      <w:r w:rsidR="00C64A3D">
        <w:rPr>
          <w:rFonts w:asciiTheme="minorHAnsi" w:hAnsiTheme="minorHAnsi" w:cstheme="minorBidi"/>
          <w:b w:val="0"/>
          <w:kern w:val="0"/>
          <w:sz w:val="18"/>
        </w:rPr>
        <w:t xml:space="preserve"> More recent mining by </w:t>
      </w:r>
      <w:proofErr w:type="spellStart"/>
      <w:r w:rsidR="00C64A3D">
        <w:rPr>
          <w:rFonts w:asciiTheme="minorHAnsi" w:hAnsiTheme="minorHAnsi" w:cstheme="minorBidi"/>
          <w:b w:val="0"/>
          <w:kern w:val="0"/>
          <w:sz w:val="18"/>
        </w:rPr>
        <w:t>Valdora</w:t>
      </w:r>
      <w:proofErr w:type="spellEnd"/>
      <w:r w:rsidR="00C64A3D">
        <w:rPr>
          <w:rFonts w:asciiTheme="minorHAnsi" w:hAnsiTheme="minorHAnsi" w:cstheme="minorBidi"/>
          <w:b w:val="0"/>
          <w:kern w:val="0"/>
          <w:sz w:val="18"/>
        </w:rPr>
        <w:t xml:space="preserve"> between 1990 and 1992 resulted in 214kt </w:t>
      </w:r>
      <w:r w:rsidR="000E40C3">
        <w:rPr>
          <w:rFonts w:asciiTheme="minorHAnsi" w:hAnsiTheme="minorHAnsi" w:cstheme="minorBidi"/>
          <w:b w:val="0"/>
          <w:kern w:val="0"/>
          <w:sz w:val="18"/>
        </w:rPr>
        <w:t xml:space="preserve">@ </w:t>
      </w:r>
      <w:r w:rsidR="00C64A3D">
        <w:rPr>
          <w:rFonts w:asciiTheme="minorHAnsi" w:hAnsiTheme="minorHAnsi" w:cstheme="minorBidi"/>
          <w:b w:val="0"/>
          <w:kern w:val="0"/>
          <w:sz w:val="18"/>
        </w:rPr>
        <w:t>1.94g/t being mined in a heap leach operation.</w:t>
      </w:r>
    </w:p>
    <w:p w14:paraId="7DE702A2" w14:textId="77777777" w:rsidR="00102B33" w:rsidRDefault="00102B33" w:rsidP="007A41F7">
      <w:pPr>
        <w:pStyle w:val="Heading2"/>
        <w:spacing w:before="0" w:after="0"/>
        <w:rPr>
          <w:sz w:val="24"/>
          <w:szCs w:val="24"/>
        </w:rPr>
      </w:pPr>
    </w:p>
    <w:p w14:paraId="73BD55AB" w14:textId="6DDACC93" w:rsidR="009B654A" w:rsidRPr="006D6794" w:rsidRDefault="00BF4EA3" w:rsidP="007A41F7">
      <w:pPr>
        <w:pStyle w:val="Heading2"/>
        <w:spacing w:before="0" w:after="0"/>
        <w:rPr>
          <w:sz w:val="24"/>
          <w:szCs w:val="24"/>
        </w:rPr>
      </w:pPr>
      <w:r>
        <w:rPr>
          <w:sz w:val="24"/>
          <w:szCs w:val="24"/>
        </w:rPr>
        <w:t xml:space="preserve">IPO </w:t>
      </w:r>
      <w:r w:rsidR="000E40C3">
        <w:rPr>
          <w:sz w:val="24"/>
          <w:szCs w:val="24"/>
        </w:rPr>
        <w:t>P</w:t>
      </w:r>
      <w:r>
        <w:rPr>
          <w:sz w:val="24"/>
          <w:szCs w:val="24"/>
        </w:rPr>
        <w:t xml:space="preserve">roceeds to </w:t>
      </w:r>
      <w:r w:rsidR="000E40C3">
        <w:rPr>
          <w:sz w:val="24"/>
          <w:szCs w:val="24"/>
        </w:rPr>
        <w:t>F</w:t>
      </w:r>
      <w:r>
        <w:rPr>
          <w:sz w:val="24"/>
          <w:szCs w:val="24"/>
        </w:rPr>
        <w:t xml:space="preserve">und </w:t>
      </w:r>
      <w:r w:rsidR="000E40C3">
        <w:rPr>
          <w:sz w:val="24"/>
          <w:szCs w:val="24"/>
        </w:rPr>
        <w:t>E</w:t>
      </w:r>
      <w:r>
        <w:rPr>
          <w:sz w:val="24"/>
          <w:szCs w:val="24"/>
        </w:rPr>
        <w:t xml:space="preserve">xploration </w:t>
      </w:r>
    </w:p>
    <w:p w14:paraId="0B7754E5" w14:textId="45CB87C9" w:rsidR="00C97DAE" w:rsidRDefault="00FF46F2" w:rsidP="00DA2651">
      <w:pPr>
        <w:spacing w:after="0" w:line="240" w:lineRule="auto"/>
        <w:jc w:val="both"/>
        <w:rPr>
          <w:sz w:val="24"/>
          <w:szCs w:val="24"/>
        </w:rPr>
      </w:pPr>
      <w:r>
        <w:rPr>
          <w:sz w:val="18"/>
          <w:szCs w:val="18"/>
          <w:lang w:val="en-GB"/>
        </w:rPr>
        <w:t xml:space="preserve">QMines intends to use the proceeds from the IPO </w:t>
      </w:r>
      <w:r w:rsidR="007B2A2B">
        <w:rPr>
          <w:sz w:val="18"/>
          <w:szCs w:val="18"/>
          <w:lang w:val="en-GB"/>
        </w:rPr>
        <w:t xml:space="preserve">to evaluate three </w:t>
      </w:r>
      <w:r w:rsidR="000E40C3">
        <w:rPr>
          <w:sz w:val="18"/>
          <w:szCs w:val="18"/>
          <w:lang w:val="en-GB"/>
        </w:rPr>
        <w:t>E</w:t>
      </w:r>
      <w:r w:rsidR="008976C9">
        <w:rPr>
          <w:sz w:val="18"/>
          <w:szCs w:val="18"/>
          <w:lang w:val="en-GB"/>
        </w:rPr>
        <w:t xml:space="preserve">xploration </w:t>
      </w:r>
      <w:r w:rsidR="000E40C3">
        <w:rPr>
          <w:sz w:val="18"/>
          <w:szCs w:val="18"/>
          <w:lang w:val="en-GB"/>
        </w:rPr>
        <w:t>T</w:t>
      </w:r>
      <w:r w:rsidR="007B2A2B">
        <w:rPr>
          <w:sz w:val="18"/>
          <w:szCs w:val="18"/>
          <w:lang w:val="en-GB"/>
        </w:rPr>
        <w:t xml:space="preserve">argets and </w:t>
      </w:r>
      <w:r w:rsidR="000E40C3">
        <w:rPr>
          <w:sz w:val="18"/>
          <w:szCs w:val="18"/>
          <w:lang w:val="en-GB"/>
        </w:rPr>
        <w:t xml:space="preserve">a number of </w:t>
      </w:r>
      <w:r w:rsidR="008976C9">
        <w:rPr>
          <w:sz w:val="18"/>
          <w:szCs w:val="18"/>
          <w:lang w:val="en-GB"/>
        </w:rPr>
        <w:t>additional drill targets at Mt Chalmers, its flagship project.</w:t>
      </w:r>
      <w:r w:rsidR="001744EB">
        <w:rPr>
          <w:sz w:val="18"/>
          <w:szCs w:val="18"/>
          <w:lang w:val="en-GB"/>
        </w:rPr>
        <w:t xml:space="preserve"> The Mt Chalmers deposit was last mined</w:t>
      </w:r>
      <w:r w:rsidR="00D55E5D">
        <w:rPr>
          <w:sz w:val="18"/>
          <w:szCs w:val="18"/>
          <w:lang w:val="en-GB"/>
        </w:rPr>
        <w:t xml:space="preserve"> by Mount Morgan Ltd between 1979 and 1982, before closing due to low commodity prices. </w:t>
      </w:r>
      <w:r w:rsidR="001C5DC7">
        <w:rPr>
          <w:sz w:val="18"/>
          <w:szCs w:val="18"/>
          <w:lang w:val="en-GB"/>
        </w:rPr>
        <w:t xml:space="preserve">The initial drilling plans include a 10-hole, 1,400m diamond drilling programme focused </w:t>
      </w:r>
      <w:r w:rsidR="000E40C3">
        <w:rPr>
          <w:sz w:val="18"/>
          <w:szCs w:val="18"/>
          <w:lang w:val="en-GB"/>
        </w:rPr>
        <w:t xml:space="preserve">around </w:t>
      </w:r>
      <w:r w:rsidR="001C5DC7">
        <w:rPr>
          <w:sz w:val="18"/>
          <w:szCs w:val="18"/>
          <w:lang w:val="en-GB"/>
        </w:rPr>
        <w:t xml:space="preserve">the Mt Chalmers </w:t>
      </w:r>
      <w:r w:rsidR="000E40C3">
        <w:rPr>
          <w:sz w:val="18"/>
          <w:szCs w:val="18"/>
          <w:lang w:val="en-GB"/>
        </w:rPr>
        <w:t xml:space="preserve">pits </w:t>
      </w:r>
      <w:r w:rsidR="001C5DC7">
        <w:rPr>
          <w:sz w:val="18"/>
          <w:szCs w:val="18"/>
          <w:lang w:val="en-GB"/>
        </w:rPr>
        <w:t>and a 25,000m RC drilling programme focused around the Mt Chalmers open pit</w:t>
      </w:r>
      <w:r w:rsidR="000E40C3">
        <w:rPr>
          <w:sz w:val="18"/>
          <w:szCs w:val="18"/>
          <w:lang w:val="en-GB"/>
        </w:rPr>
        <w:t xml:space="preserve">s, </w:t>
      </w:r>
      <w:r w:rsidR="001C5DC7">
        <w:rPr>
          <w:sz w:val="18"/>
          <w:szCs w:val="18"/>
          <w:lang w:val="en-GB"/>
        </w:rPr>
        <w:t xml:space="preserve">the Woods Shaft, Botos and Mt Warminster </w:t>
      </w:r>
      <w:r w:rsidR="000E40C3">
        <w:rPr>
          <w:sz w:val="18"/>
          <w:szCs w:val="18"/>
          <w:lang w:val="en-GB"/>
        </w:rPr>
        <w:t>E</w:t>
      </w:r>
      <w:r w:rsidR="001C5DC7">
        <w:rPr>
          <w:sz w:val="18"/>
          <w:szCs w:val="18"/>
          <w:lang w:val="en-GB"/>
        </w:rPr>
        <w:t xml:space="preserve">xploration </w:t>
      </w:r>
      <w:r w:rsidR="000E40C3">
        <w:rPr>
          <w:sz w:val="18"/>
          <w:szCs w:val="18"/>
          <w:lang w:val="en-GB"/>
        </w:rPr>
        <w:t>T</w:t>
      </w:r>
      <w:r w:rsidR="001C5DC7">
        <w:rPr>
          <w:sz w:val="18"/>
          <w:szCs w:val="18"/>
          <w:lang w:val="en-GB"/>
        </w:rPr>
        <w:t>argets</w:t>
      </w:r>
      <w:r w:rsidR="000E40C3">
        <w:rPr>
          <w:sz w:val="18"/>
          <w:szCs w:val="18"/>
          <w:lang w:val="en-GB"/>
        </w:rPr>
        <w:t xml:space="preserve"> and other prospects</w:t>
      </w:r>
      <w:r w:rsidR="001C5DC7">
        <w:rPr>
          <w:sz w:val="18"/>
          <w:szCs w:val="18"/>
          <w:lang w:val="en-GB"/>
        </w:rPr>
        <w:t xml:space="preserve">. </w:t>
      </w:r>
      <w:r w:rsidR="000104C8">
        <w:rPr>
          <w:sz w:val="18"/>
          <w:szCs w:val="18"/>
          <w:lang w:val="en-GB"/>
        </w:rPr>
        <w:t xml:space="preserve">At the minimum subscription, the IPO proceeds will fund a </w:t>
      </w:r>
      <w:r w:rsidR="002E4472">
        <w:rPr>
          <w:sz w:val="18"/>
          <w:szCs w:val="18"/>
          <w:lang w:val="en-GB"/>
        </w:rPr>
        <w:t xml:space="preserve">planned </w:t>
      </w:r>
      <w:r w:rsidR="000104C8">
        <w:rPr>
          <w:sz w:val="18"/>
          <w:szCs w:val="18"/>
          <w:lang w:val="en-GB"/>
        </w:rPr>
        <w:t xml:space="preserve">$6.1m exploration program over two years at Mt Chalmers. </w:t>
      </w:r>
      <w:r w:rsidR="004E0E56">
        <w:rPr>
          <w:sz w:val="18"/>
          <w:szCs w:val="18"/>
          <w:lang w:val="en-GB"/>
        </w:rPr>
        <w:t>Additional spend on soil sampling</w:t>
      </w:r>
      <w:r w:rsidR="00EC116B">
        <w:rPr>
          <w:sz w:val="18"/>
          <w:szCs w:val="18"/>
          <w:lang w:val="en-GB"/>
        </w:rPr>
        <w:t xml:space="preserve">, geological mapping, aircore drilling and drill target planning is earmarked for the Silverwood, Warroo and Herries Range </w:t>
      </w:r>
      <w:r w:rsidR="002E4472">
        <w:rPr>
          <w:sz w:val="18"/>
          <w:szCs w:val="18"/>
          <w:lang w:val="en-GB"/>
        </w:rPr>
        <w:t>projects</w:t>
      </w:r>
      <w:r w:rsidR="00EC116B">
        <w:rPr>
          <w:sz w:val="18"/>
          <w:szCs w:val="18"/>
          <w:lang w:val="en-GB"/>
        </w:rPr>
        <w:t>.</w:t>
      </w:r>
      <w:r w:rsidR="00563FF3">
        <w:rPr>
          <w:sz w:val="18"/>
          <w:szCs w:val="18"/>
          <w:lang w:val="en-GB"/>
        </w:rPr>
        <w:t xml:space="preserve"> </w:t>
      </w:r>
    </w:p>
    <w:p w14:paraId="643AD0A0" w14:textId="77777777" w:rsidR="00102B33" w:rsidRDefault="00102B33" w:rsidP="007A41F7">
      <w:pPr>
        <w:pStyle w:val="Heading2"/>
        <w:spacing w:before="0" w:after="0"/>
        <w:rPr>
          <w:sz w:val="24"/>
          <w:szCs w:val="24"/>
        </w:rPr>
      </w:pPr>
    </w:p>
    <w:p w14:paraId="511D4CAD" w14:textId="225CFBF6" w:rsidR="00343508" w:rsidRPr="006D6794" w:rsidRDefault="00DA2651" w:rsidP="007A41F7">
      <w:pPr>
        <w:pStyle w:val="Heading2"/>
        <w:spacing w:before="0" w:after="0"/>
        <w:rPr>
          <w:sz w:val="24"/>
          <w:szCs w:val="24"/>
        </w:rPr>
      </w:pPr>
      <w:r>
        <w:rPr>
          <w:sz w:val="24"/>
          <w:szCs w:val="24"/>
        </w:rPr>
        <w:t xml:space="preserve">Pathway to </w:t>
      </w:r>
      <w:r w:rsidR="002E4472">
        <w:rPr>
          <w:sz w:val="24"/>
          <w:szCs w:val="24"/>
        </w:rPr>
        <w:t>Development</w:t>
      </w:r>
    </w:p>
    <w:p w14:paraId="23C289D8" w14:textId="2214EBFA" w:rsidR="00A8279E" w:rsidRDefault="009444AD" w:rsidP="00DA2651">
      <w:pPr>
        <w:spacing w:after="0" w:line="240" w:lineRule="auto"/>
        <w:jc w:val="both"/>
        <w:rPr>
          <w:sz w:val="18"/>
          <w:szCs w:val="18"/>
          <w:lang w:val="en-GB"/>
        </w:rPr>
      </w:pPr>
      <w:r>
        <w:rPr>
          <w:sz w:val="18"/>
          <w:szCs w:val="18"/>
          <w:lang w:val="en-GB"/>
        </w:rPr>
        <w:t xml:space="preserve">QMines’ </w:t>
      </w:r>
      <w:r w:rsidR="00FA102F">
        <w:rPr>
          <w:sz w:val="18"/>
          <w:szCs w:val="18"/>
          <w:lang w:val="en-GB"/>
        </w:rPr>
        <w:t xml:space="preserve">directors </w:t>
      </w:r>
      <w:r w:rsidR="00A8279E">
        <w:rPr>
          <w:sz w:val="18"/>
          <w:szCs w:val="18"/>
          <w:lang w:val="en-GB"/>
        </w:rPr>
        <w:t xml:space="preserve">successfully developed and sold Alt Resources </w:t>
      </w:r>
      <w:r w:rsidR="002E4472">
        <w:rPr>
          <w:sz w:val="18"/>
          <w:szCs w:val="18"/>
          <w:lang w:val="en-GB"/>
        </w:rPr>
        <w:t xml:space="preserve">Limited </w:t>
      </w:r>
      <w:r w:rsidR="00A8279E">
        <w:rPr>
          <w:sz w:val="18"/>
          <w:szCs w:val="18"/>
          <w:lang w:val="en-GB"/>
        </w:rPr>
        <w:t>(ASX:ARS), now delisted, which owns the historic Bottle Creek gold mine in Western Australia. They are now seeking to establish a brownfield focused exploration company with the aim of becoming Queensland’s next copper and gold developer.</w:t>
      </w:r>
    </w:p>
    <w:p w14:paraId="7A68844E" w14:textId="299C32F5" w:rsidR="00F72FD2" w:rsidRDefault="00F72FD2" w:rsidP="009B654A">
      <w:pPr>
        <w:spacing w:after="0" w:line="240" w:lineRule="auto"/>
        <w:rPr>
          <w:sz w:val="44"/>
          <w:szCs w:val="44"/>
        </w:rPr>
      </w:pPr>
      <w:r>
        <w:rPr>
          <w:sz w:val="44"/>
          <w:szCs w:val="44"/>
        </w:rPr>
        <w:br w:type="page"/>
      </w:r>
    </w:p>
    <w:p w14:paraId="036C5C88" w14:textId="77777777" w:rsidR="00330ECE" w:rsidRDefault="00330ECE" w:rsidP="004124A6">
      <w:pPr>
        <w:jc w:val="center"/>
        <w:rPr>
          <w:sz w:val="44"/>
          <w:szCs w:val="44"/>
        </w:rPr>
      </w:pPr>
    </w:p>
    <w:p w14:paraId="69AC9668" w14:textId="35A12DF2" w:rsidR="004124A6" w:rsidRPr="00436986" w:rsidRDefault="004124A6" w:rsidP="004124A6">
      <w:pPr>
        <w:jc w:val="center"/>
        <w:rPr>
          <w:sz w:val="44"/>
          <w:szCs w:val="44"/>
        </w:rPr>
      </w:pPr>
      <w:r w:rsidRPr="00436986">
        <w:rPr>
          <w:sz w:val="44"/>
          <w:szCs w:val="44"/>
        </w:rPr>
        <w:t>FINANCIAL SERVICES GUIDE</w:t>
      </w:r>
    </w:p>
    <w:p w14:paraId="1D130167" w14:textId="77777777" w:rsidR="004124A6" w:rsidRDefault="004124A6" w:rsidP="004124A6">
      <w:pPr>
        <w:spacing w:after="21"/>
        <w:jc w:val="center"/>
      </w:pPr>
    </w:p>
    <w:p w14:paraId="7D299C4A" w14:textId="77777777" w:rsidR="004124A6" w:rsidRDefault="004124A6" w:rsidP="004124A6">
      <w:pPr>
        <w:spacing w:after="21"/>
        <w:jc w:val="center"/>
      </w:pPr>
    </w:p>
    <w:p w14:paraId="405DB4D9" w14:textId="77777777" w:rsidR="004124A6" w:rsidRDefault="004124A6" w:rsidP="004124A6">
      <w:pPr>
        <w:spacing w:after="21"/>
        <w:jc w:val="center"/>
      </w:pPr>
    </w:p>
    <w:p w14:paraId="65EFCD4F" w14:textId="77777777" w:rsidR="004124A6" w:rsidRDefault="004124A6" w:rsidP="004124A6">
      <w:pPr>
        <w:spacing w:after="21"/>
        <w:ind w:left="-5"/>
        <w:jc w:val="center"/>
        <w:rPr>
          <w:sz w:val="32"/>
          <w:szCs w:val="32"/>
        </w:rPr>
      </w:pPr>
      <w:r>
        <w:rPr>
          <w:sz w:val="32"/>
          <w:szCs w:val="32"/>
        </w:rPr>
        <w:t>RaaS Advisory Pty Ltd</w:t>
      </w:r>
    </w:p>
    <w:p w14:paraId="3BA43FCB" w14:textId="77777777" w:rsidR="004124A6" w:rsidRDefault="004124A6" w:rsidP="004124A6">
      <w:pPr>
        <w:tabs>
          <w:tab w:val="center" w:pos="4635"/>
          <w:tab w:val="left" w:pos="8348"/>
        </w:tabs>
        <w:spacing w:after="21"/>
        <w:ind w:left="-5"/>
        <w:jc w:val="center"/>
        <w:rPr>
          <w:sz w:val="32"/>
          <w:szCs w:val="32"/>
        </w:rPr>
      </w:pPr>
      <w:r>
        <w:rPr>
          <w:sz w:val="32"/>
          <w:szCs w:val="32"/>
        </w:rPr>
        <w:t>ABN 99 614 783 363</w:t>
      </w:r>
    </w:p>
    <w:p w14:paraId="27301E66" w14:textId="77777777" w:rsidR="004124A6" w:rsidRDefault="004124A6" w:rsidP="004124A6">
      <w:pPr>
        <w:spacing w:after="21"/>
        <w:ind w:left="-5"/>
        <w:jc w:val="center"/>
        <w:rPr>
          <w:sz w:val="32"/>
          <w:szCs w:val="32"/>
        </w:rPr>
      </w:pPr>
      <w:r>
        <w:rPr>
          <w:sz w:val="32"/>
          <w:szCs w:val="32"/>
        </w:rPr>
        <w:t>Corporate Authorised Representative, number 1248415</w:t>
      </w:r>
    </w:p>
    <w:p w14:paraId="7C0AE5C0" w14:textId="77777777" w:rsidR="004124A6" w:rsidRDefault="004124A6" w:rsidP="004124A6">
      <w:pPr>
        <w:spacing w:after="21"/>
        <w:ind w:left="-5"/>
        <w:jc w:val="center"/>
        <w:rPr>
          <w:sz w:val="28"/>
          <w:szCs w:val="28"/>
        </w:rPr>
      </w:pPr>
    </w:p>
    <w:p w14:paraId="491CE784" w14:textId="77777777" w:rsidR="004124A6" w:rsidRDefault="004124A6" w:rsidP="004124A6">
      <w:pPr>
        <w:spacing w:after="21"/>
        <w:ind w:left="-5"/>
        <w:jc w:val="center"/>
        <w:rPr>
          <w:sz w:val="28"/>
          <w:szCs w:val="28"/>
        </w:rPr>
      </w:pPr>
      <w:r>
        <w:rPr>
          <w:sz w:val="28"/>
          <w:szCs w:val="28"/>
        </w:rPr>
        <w:t>of</w:t>
      </w:r>
    </w:p>
    <w:p w14:paraId="74EA9B07" w14:textId="77777777" w:rsidR="004124A6" w:rsidRDefault="004124A6" w:rsidP="004124A6">
      <w:pPr>
        <w:spacing w:after="21"/>
        <w:ind w:left="-5"/>
        <w:jc w:val="center"/>
        <w:rPr>
          <w:sz w:val="32"/>
          <w:szCs w:val="32"/>
        </w:rPr>
      </w:pPr>
    </w:p>
    <w:p w14:paraId="674A40D8" w14:textId="77777777" w:rsidR="004124A6" w:rsidRDefault="004124A6" w:rsidP="004124A6">
      <w:pPr>
        <w:spacing w:after="21"/>
        <w:ind w:left="-5"/>
        <w:jc w:val="center"/>
        <w:rPr>
          <w:sz w:val="32"/>
          <w:szCs w:val="32"/>
        </w:rPr>
      </w:pPr>
      <w:r>
        <w:rPr>
          <w:sz w:val="32"/>
          <w:szCs w:val="32"/>
        </w:rPr>
        <w:t>BR SECURITIES AUSTRALIA PTY LTD</w:t>
      </w:r>
    </w:p>
    <w:p w14:paraId="26A68E7D" w14:textId="77777777" w:rsidR="004124A6" w:rsidRDefault="004124A6" w:rsidP="004124A6">
      <w:pPr>
        <w:tabs>
          <w:tab w:val="center" w:pos="1502"/>
        </w:tabs>
        <w:spacing w:after="28"/>
        <w:ind w:left="-15"/>
        <w:jc w:val="center"/>
        <w:rPr>
          <w:sz w:val="32"/>
          <w:szCs w:val="32"/>
        </w:rPr>
      </w:pPr>
      <w:r>
        <w:rPr>
          <w:sz w:val="32"/>
          <w:szCs w:val="32"/>
        </w:rPr>
        <w:t>ABN</w:t>
      </w:r>
      <w:r>
        <w:rPr>
          <w:sz w:val="32"/>
          <w:szCs w:val="32"/>
        </w:rPr>
        <w:tab/>
        <w:t xml:space="preserve"> 92 168 734 530</w:t>
      </w:r>
    </w:p>
    <w:p w14:paraId="5EB51A17" w14:textId="77777777" w:rsidR="004124A6" w:rsidRDefault="004124A6" w:rsidP="004124A6">
      <w:pPr>
        <w:spacing w:after="21"/>
        <w:ind w:left="-5"/>
        <w:jc w:val="center"/>
        <w:rPr>
          <w:sz w:val="32"/>
          <w:szCs w:val="32"/>
        </w:rPr>
      </w:pPr>
      <w:r>
        <w:rPr>
          <w:sz w:val="32"/>
          <w:szCs w:val="32"/>
        </w:rPr>
        <w:t>AFSL 456663</w:t>
      </w:r>
    </w:p>
    <w:p w14:paraId="64B6C589" w14:textId="77777777" w:rsidR="004124A6" w:rsidRDefault="004124A6" w:rsidP="004124A6">
      <w:pPr>
        <w:spacing w:after="21"/>
        <w:jc w:val="center"/>
      </w:pPr>
    </w:p>
    <w:p w14:paraId="52C50929" w14:textId="77777777" w:rsidR="004124A6" w:rsidRDefault="004124A6" w:rsidP="004124A6">
      <w:pPr>
        <w:spacing w:after="21"/>
        <w:ind w:left="-5"/>
        <w:jc w:val="center"/>
      </w:pPr>
    </w:p>
    <w:p w14:paraId="6BFD556A" w14:textId="77777777" w:rsidR="004124A6" w:rsidRDefault="004124A6" w:rsidP="004124A6">
      <w:pPr>
        <w:jc w:val="center"/>
        <w:rPr>
          <w:sz w:val="32"/>
          <w:szCs w:val="32"/>
        </w:rPr>
      </w:pPr>
    </w:p>
    <w:p w14:paraId="70C2B672" w14:textId="77777777" w:rsidR="004124A6" w:rsidRDefault="004124A6" w:rsidP="004124A6">
      <w:pPr>
        <w:jc w:val="center"/>
        <w:rPr>
          <w:sz w:val="32"/>
          <w:szCs w:val="32"/>
        </w:rPr>
      </w:pPr>
    </w:p>
    <w:p w14:paraId="78DE25D4" w14:textId="77777777" w:rsidR="004124A6" w:rsidRDefault="004124A6" w:rsidP="004124A6">
      <w:pPr>
        <w:jc w:val="center"/>
        <w:rPr>
          <w:sz w:val="32"/>
          <w:szCs w:val="32"/>
        </w:rPr>
      </w:pPr>
    </w:p>
    <w:p w14:paraId="7D5E1DF0" w14:textId="77777777" w:rsidR="004124A6" w:rsidRDefault="004124A6" w:rsidP="004124A6">
      <w:pPr>
        <w:jc w:val="center"/>
        <w:rPr>
          <w:sz w:val="32"/>
          <w:szCs w:val="32"/>
        </w:rPr>
      </w:pPr>
    </w:p>
    <w:p w14:paraId="1EAF7DFF" w14:textId="77777777" w:rsidR="004124A6" w:rsidRDefault="004124A6" w:rsidP="004124A6">
      <w:pPr>
        <w:jc w:val="center"/>
        <w:rPr>
          <w:sz w:val="32"/>
          <w:szCs w:val="32"/>
        </w:rPr>
      </w:pPr>
    </w:p>
    <w:p w14:paraId="4D815236" w14:textId="77777777" w:rsidR="004124A6" w:rsidRDefault="004124A6" w:rsidP="004124A6">
      <w:pPr>
        <w:jc w:val="center"/>
        <w:rPr>
          <w:b/>
        </w:rPr>
      </w:pPr>
      <w:r>
        <w:rPr>
          <w:sz w:val="32"/>
          <w:szCs w:val="32"/>
        </w:rPr>
        <w:t>Effective Date:  26</w:t>
      </w:r>
      <w:r w:rsidRPr="00471E70">
        <w:rPr>
          <w:sz w:val="32"/>
          <w:szCs w:val="32"/>
          <w:vertAlign w:val="superscript"/>
        </w:rPr>
        <w:t>th</w:t>
      </w:r>
      <w:r>
        <w:rPr>
          <w:sz w:val="32"/>
          <w:szCs w:val="32"/>
        </w:rPr>
        <w:t xml:space="preserve"> November 2018</w:t>
      </w:r>
      <w:r>
        <w:rPr>
          <w:b/>
        </w:rPr>
        <w:br w:type="page"/>
      </w:r>
    </w:p>
    <w:p w14:paraId="753BD2C2" w14:textId="77777777" w:rsidR="004124A6" w:rsidRPr="004124A6" w:rsidRDefault="004124A6" w:rsidP="004124A6">
      <w:pPr>
        <w:spacing w:after="0" w:line="240" w:lineRule="auto"/>
        <w:ind w:left="-6" w:right="3799"/>
        <w:rPr>
          <w:b/>
          <w:sz w:val="16"/>
          <w:szCs w:val="16"/>
        </w:rPr>
      </w:pPr>
      <w:r w:rsidRPr="004124A6">
        <w:rPr>
          <w:b/>
          <w:color w:val="FF0000"/>
          <w:sz w:val="16"/>
          <w:szCs w:val="16"/>
        </w:rPr>
        <w:lastRenderedPageBreak/>
        <w:t>About Us</w:t>
      </w:r>
      <w:r w:rsidRPr="004124A6">
        <w:rPr>
          <w:b/>
          <w:color w:val="1155CC"/>
          <w:sz w:val="16"/>
          <w:szCs w:val="16"/>
        </w:rPr>
        <w:t xml:space="preserve"> </w:t>
      </w:r>
    </w:p>
    <w:p w14:paraId="131140F5" w14:textId="77777777" w:rsidR="004124A6" w:rsidRPr="004124A6" w:rsidRDefault="004124A6" w:rsidP="004124A6">
      <w:pPr>
        <w:spacing w:line="240" w:lineRule="auto"/>
        <w:ind w:left="-5"/>
        <w:rPr>
          <w:sz w:val="16"/>
          <w:szCs w:val="16"/>
        </w:rPr>
      </w:pPr>
      <w:r w:rsidRPr="004124A6">
        <w:rPr>
          <w:sz w:val="16"/>
          <w:szCs w:val="16"/>
        </w:rPr>
        <w:t xml:space="preserve">BR Securities Australia Pty Ltd (BR) is the holder of Australian Financial Services License (“AFSL”) number 456663. RaaS Advisory Pty Ltd (RaaS) is an Authorised Representative (number 1248415) of BR. </w:t>
      </w:r>
    </w:p>
    <w:p w14:paraId="17F5C0D0" w14:textId="77777777" w:rsidR="004124A6" w:rsidRPr="004124A6" w:rsidRDefault="004124A6" w:rsidP="004124A6">
      <w:pPr>
        <w:spacing w:line="240" w:lineRule="auto"/>
        <w:rPr>
          <w:sz w:val="16"/>
          <w:szCs w:val="16"/>
        </w:rPr>
      </w:pPr>
      <w:r w:rsidRPr="004124A6">
        <w:rPr>
          <w:sz w:val="16"/>
          <w:szCs w:val="16"/>
        </w:rPr>
        <w:t xml:space="preserve">This Financial Service Guide (FSG) is designed to assist you in deciding whether to use RaaS’s services and includes such things as </w:t>
      </w:r>
    </w:p>
    <w:p w14:paraId="49F29BD1" w14:textId="77777777" w:rsidR="004124A6" w:rsidRPr="004124A6" w:rsidRDefault="004124A6" w:rsidP="004124A6">
      <w:pPr>
        <w:pStyle w:val="ListParagraph"/>
        <w:numPr>
          <w:ilvl w:val="0"/>
          <w:numId w:val="15"/>
        </w:numPr>
        <w:spacing w:before="0" w:after="111" w:line="240" w:lineRule="auto"/>
        <w:ind w:left="720"/>
        <w:rPr>
          <w:sz w:val="16"/>
          <w:szCs w:val="16"/>
        </w:rPr>
      </w:pPr>
      <w:r w:rsidRPr="004124A6">
        <w:rPr>
          <w:sz w:val="16"/>
          <w:szCs w:val="16"/>
        </w:rPr>
        <w:t>who we are</w:t>
      </w:r>
    </w:p>
    <w:p w14:paraId="7B5079DD" w14:textId="77777777" w:rsidR="004124A6" w:rsidRPr="004124A6" w:rsidRDefault="004124A6" w:rsidP="004124A6">
      <w:pPr>
        <w:pStyle w:val="ListParagraph"/>
        <w:numPr>
          <w:ilvl w:val="0"/>
          <w:numId w:val="15"/>
        </w:numPr>
        <w:spacing w:before="0" w:after="111" w:line="240" w:lineRule="auto"/>
        <w:ind w:left="720"/>
        <w:rPr>
          <w:sz w:val="16"/>
          <w:szCs w:val="16"/>
        </w:rPr>
      </w:pPr>
      <w:r w:rsidRPr="004124A6">
        <w:rPr>
          <w:sz w:val="16"/>
          <w:szCs w:val="16"/>
        </w:rPr>
        <w:t>our services</w:t>
      </w:r>
    </w:p>
    <w:p w14:paraId="5960046D" w14:textId="77777777" w:rsidR="004124A6" w:rsidRPr="004124A6" w:rsidRDefault="004124A6" w:rsidP="004124A6">
      <w:pPr>
        <w:pStyle w:val="ListParagraph"/>
        <w:numPr>
          <w:ilvl w:val="0"/>
          <w:numId w:val="15"/>
        </w:numPr>
        <w:spacing w:before="0" w:after="111" w:line="240" w:lineRule="auto"/>
        <w:ind w:left="720"/>
        <w:rPr>
          <w:sz w:val="16"/>
          <w:szCs w:val="16"/>
        </w:rPr>
      </w:pPr>
      <w:r w:rsidRPr="004124A6">
        <w:rPr>
          <w:sz w:val="16"/>
          <w:szCs w:val="16"/>
        </w:rPr>
        <w:t>how we transact with you</w:t>
      </w:r>
    </w:p>
    <w:p w14:paraId="5396AE3A" w14:textId="77777777" w:rsidR="004124A6" w:rsidRPr="004124A6" w:rsidRDefault="004124A6" w:rsidP="004124A6">
      <w:pPr>
        <w:pStyle w:val="ListParagraph"/>
        <w:numPr>
          <w:ilvl w:val="0"/>
          <w:numId w:val="15"/>
        </w:numPr>
        <w:spacing w:before="0" w:after="111" w:line="240" w:lineRule="auto"/>
        <w:ind w:left="720"/>
        <w:rPr>
          <w:sz w:val="16"/>
          <w:szCs w:val="16"/>
        </w:rPr>
      </w:pPr>
      <w:r w:rsidRPr="004124A6">
        <w:rPr>
          <w:sz w:val="16"/>
          <w:szCs w:val="16"/>
        </w:rPr>
        <w:t>how we are paid, and</w:t>
      </w:r>
    </w:p>
    <w:p w14:paraId="56A6BEBC" w14:textId="77777777" w:rsidR="004124A6" w:rsidRPr="004124A6" w:rsidRDefault="004124A6" w:rsidP="004124A6">
      <w:pPr>
        <w:pStyle w:val="ListParagraph"/>
        <w:numPr>
          <w:ilvl w:val="0"/>
          <w:numId w:val="15"/>
        </w:numPr>
        <w:spacing w:before="0" w:after="120" w:line="240" w:lineRule="auto"/>
        <w:ind w:left="720"/>
        <w:rPr>
          <w:sz w:val="16"/>
          <w:szCs w:val="16"/>
        </w:rPr>
      </w:pPr>
      <w:r w:rsidRPr="004124A6">
        <w:rPr>
          <w:sz w:val="16"/>
          <w:szCs w:val="16"/>
        </w:rPr>
        <w:t>complaint processes</w:t>
      </w:r>
    </w:p>
    <w:p w14:paraId="55F02011" w14:textId="77777777" w:rsidR="004124A6" w:rsidRPr="004124A6" w:rsidRDefault="004124A6" w:rsidP="004124A6">
      <w:pPr>
        <w:spacing w:line="240" w:lineRule="auto"/>
        <w:rPr>
          <w:sz w:val="16"/>
          <w:szCs w:val="16"/>
        </w:rPr>
      </w:pPr>
      <w:r w:rsidRPr="004124A6">
        <w:rPr>
          <w:sz w:val="16"/>
          <w:szCs w:val="16"/>
        </w:rPr>
        <w:t>Contact Details, BR and RaaS</w:t>
      </w:r>
    </w:p>
    <w:p w14:paraId="780B09FC" w14:textId="77777777" w:rsidR="004124A6" w:rsidRPr="004124A6" w:rsidRDefault="004124A6" w:rsidP="004124A6">
      <w:pPr>
        <w:spacing w:line="240" w:lineRule="auto"/>
        <w:ind w:left="-5"/>
        <w:rPr>
          <w:sz w:val="16"/>
          <w:szCs w:val="16"/>
        </w:rPr>
      </w:pPr>
      <w:r w:rsidRPr="004124A6">
        <w:rPr>
          <w:sz w:val="16"/>
          <w:szCs w:val="16"/>
        </w:rPr>
        <w:t xml:space="preserve">BR Head Office: Level 14, 344 Queen Street, Brisbane, QLD, 4000 </w:t>
      </w:r>
    </w:p>
    <w:p w14:paraId="5A8AF245" w14:textId="77777777" w:rsidR="004124A6" w:rsidRPr="004124A6" w:rsidRDefault="004124A6" w:rsidP="004124A6">
      <w:pPr>
        <w:tabs>
          <w:tab w:val="center" w:pos="5163"/>
          <w:tab w:val="center" w:pos="9360"/>
        </w:tabs>
        <w:spacing w:line="240" w:lineRule="auto"/>
        <w:ind w:left="-15"/>
        <w:rPr>
          <w:sz w:val="16"/>
          <w:szCs w:val="16"/>
        </w:rPr>
      </w:pPr>
      <w:r w:rsidRPr="004124A6">
        <w:rPr>
          <w:sz w:val="16"/>
          <w:szCs w:val="16"/>
        </w:rPr>
        <w:t>RaaS. 20 Halls Road Arcadia, NSW 2159</w:t>
      </w:r>
    </w:p>
    <w:p w14:paraId="1F7D264C" w14:textId="77777777" w:rsidR="004124A6" w:rsidRPr="004124A6" w:rsidRDefault="004124A6" w:rsidP="004124A6">
      <w:pPr>
        <w:tabs>
          <w:tab w:val="center" w:pos="5163"/>
          <w:tab w:val="center" w:pos="9360"/>
        </w:tabs>
        <w:spacing w:line="240" w:lineRule="auto"/>
        <w:ind w:left="-15"/>
        <w:rPr>
          <w:sz w:val="16"/>
          <w:szCs w:val="16"/>
        </w:rPr>
      </w:pPr>
      <w:r w:rsidRPr="004124A6">
        <w:rPr>
          <w:sz w:val="16"/>
          <w:szCs w:val="16"/>
        </w:rPr>
        <w:t>P: +61 414 354712</w:t>
      </w:r>
    </w:p>
    <w:p w14:paraId="1F32F44C" w14:textId="77777777" w:rsidR="004124A6" w:rsidRPr="004124A6" w:rsidRDefault="004124A6" w:rsidP="004124A6">
      <w:pPr>
        <w:tabs>
          <w:tab w:val="center" w:pos="5163"/>
          <w:tab w:val="center" w:pos="9360"/>
        </w:tabs>
        <w:spacing w:after="120" w:line="240" w:lineRule="auto"/>
        <w:ind w:left="-15"/>
        <w:rPr>
          <w:sz w:val="16"/>
          <w:szCs w:val="16"/>
        </w:rPr>
      </w:pPr>
      <w:r w:rsidRPr="004124A6">
        <w:rPr>
          <w:sz w:val="16"/>
          <w:szCs w:val="16"/>
        </w:rPr>
        <w:t>E: finola.burke@raasgroup.com</w:t>
      </w:r>
    </w:p>
    <w:p w14:paraId="00D2D46A" w14:textId="77777777" w:rsidR="004124A6" w:rsidRPr="004124A6" w:rsidRDefault="004124A6" w:rsidP="004124A6">
      <w:pPr>
        <w:tabs>
          <w:tab w:val="center" w:pos="5163"/>
          <w:tab w:val="center" w:pos="9360"/>
        </w:tabs>
        <w:spacing w:after="80" w:line="240" w:lineRule="auto"/>
        <w:ind w:left="-15"/>
        <w:rPr>
          <w:sz w:val="16"/>
          <w:szCs w:val="16"/>
        </w:rPr>
      </w:pPr>
      <w:r w:rsidRPr="004124A6">
        <w:rPr>
          <w:sz w:val="16"/>
          <w:szCs w:val="16"/>
        </w:rPr>
        <w:t>RaaS is the entity providing the authorised AFSL services to you as a retail or wholesale client.</w:t>
      </w:r>
      <w:r w:rsidRPr="004124A6">
        <w:rPr>
          <w:noProof/>
          <w:sz w:val="16"/>
          <w:szCs w:val="16"/>
        </w:rPr>
        <w:t xml:space="preserve"> </w:t>
      </w:r>
    </w:p>
    <w:p w14:paraId="332BA0F4" w14:textId="77777777" w:rsidR="004124A6" w:rsidRPr="004124A6" w:rsidRDefault="004124A6" w:rsidP="004124A6">
      <w:pPr>
        <w:tabs>
          <w:tab w:val="left" w:pos="0"/>
        </w:tabs>
        <w:spacing w:line="240" w:lineRule="auto"/>
        <w:ind w:right="2529"/>
        <w:rPr>
          <w:sz w:val="16"/>
          <w:szCs w:val="16"/>
        </w:rPr>
      </w:pPr>
      <w:r w:rsidRPr="004124A6">
        <w:rPr>
          <w:b/>
          <w:color w:val="FF0000"/>
          <w:sz w:val="16"/>
          <w:szCs w:val="16"/>
        </w:rPr>
        <w:t>What Financial Services are we authorised to provide?</w:t>
      </w:r>
      <w:r w:rsidRPr="004124A6">
        <w:rPr>
          <w:color w:val="1155CC"/>
          <w:sz w:val="16"/>
          <w:szCs w:val="16"/>
        </w:rPr>
        <w:t xml:space="preserve"> </w:t>
      </w:r>
      <w:r w:rsidRPr="004124A6">
        <w:rPr>
          <w:sz w:val="16"/>
          <w:szCs w:val="16"/>
        </w:rPr>
        <w:t xml:space="preserve">RaaS is  authorised to  </w:t>
      </w:r>
    </w:p>
    <w:p w14:paraId="2BCA7E32" w14:textId="77777777" w:rsidR="004124A6" w:rsidRPr="004124A6" w:rsidRDefault="004124A6" w:rsidP="004124A6">
      <w:pPr>
        <w:pStyle w:val="ListParagraph"/>
        <w:numPr>
          <w:ilvl w:val="0"/>
          <w:numId w:val="15"/>
        </w:numPr>
        <w:tabs>
          <w:tab w:val="center" w:pos="360"/>
          <w:tab w:val="center" w:pos="4717"/>
        </w:tabs>
        <w:spacing w:before="0" w:line="240" w:lineRule="auto"/>
        <w:ind w:left="0" w:firstLine="0"/>
        <w:rPr>
          <w:sz w:val="16"/>
          <w:szCs w:val="16"/>
        </w:rPr>
      </w:pPr>
      <w:r w:rsidRPr="004124A6">
        <w:rPr>
          <w:sz w:val="16"/>
          <w:szCs w:val="16"/>
        </w:rPr>
        <w:t xml:space="preserve">provide general advice to retail and wholesale clients in relation to  </w:t>
      </w:r>
    </w:p>
    <w:p w14:paraId="12580312" w14:textId="77777777" w:rsidR="004124A6" w:rsidRPr="004124A6" w:rsidRDefault="004124A6" w:rsidP="004124A6">
      <w:pPr>
        <w:pStyle w:val="ListParagraph"/>
        <w:numPr>
          <w:ilvl w:val="0"/>
          <w:numId w:val="15"/>
        </w:numPr>
        <w:spacing w:before="0" w:line="240" w:lineRule="auto"/>
        <w:ind w:left="1710"/>
        <w:rPr>
          <w:sz w:val="16"/>
          <w:szCs w:val="16"/>
        </w:rPr>
      </w:pPr>
      <w:r w:rsidRPr="004124A6">
        <w:rPr>
          <w:sz w:val="16"/>
          <w:szCs w:val="16"/>
        </w:rPr>
        <w:t>Securities</w:t>
      </w:r>
    </w:p>
    <w:p w14:paraId="557A7C87" w14:textId="77777777" w:rsidR="004124A6" w:rsidRPr="004124A6" w:rsidRDefault="004124A6" w:rsidP="004124A6">
      <w:pPr>
        <w:pStyle w:val="ListParagraph"/>
        <w:numPr>
          <w:ilvl w:val="0"/>
          <w:numId w:val="16"/>
        </w:numPr>
        <w:tabs>
          <w:tab w:val="center" w:pos="757"/>
          <w:tab w:val="center" w:pos="4292"/>
        </w:tabs>
        <w:spacing w:before="0" w:line="240" w:lineRule="auto"/>
        <w:rPr>
          <w:color w:val="auto"/>
          <w:sz w:val="16"/>
          <w:szCs w:val="16"/>
        </w:rPr>
      </w:pPr>
      <w:r w:rsidRPr="004124A6">
        <w:rPr>
          <w:color w:val="auto"/>
          <w:sz w:val="16"/>
          <w:szCs w:val="16"/>
        </w:rPr>
        <w:t>deal on behalf of retail and wholesale clients in relation to</w:t>
      </w:r>
    </w:p>
    <w:p w14:paraId="570824F7" w14:textId="77777777" w:rsidR="004124A6" w:rsidRPr="004124A6" w:rsidRDefault="004124A6" w:rsidP="004124A6">
      <w:pPr>
        <w:pStyle w:val="ListParagraph"/>
        <w:numPr>
          <w:ilvl w:val="0"/>
          <w:numId w:val="16"/>
        </w:numPr>
        <w:tabs>
          <w:tab w:val="center" w:pos="4292"/>
        </w:tabs>
        <w:spacing w:before="0" w:line="240" w:lineRule="auto"/>
        <w:ind w:left="1710"/>
        <w:rPr>
          <w:color w:val="auto"/>
          <w:sz w:val="16"/>
          <w:szCs w:val="16"/>
        </w:rPr>
      </w:pPr>
      <w:r w:rsidRPr="004124A6">
        <w:rPr>
          <w:color w:val="auto"/>
          <w:sz w:val="16"/>
          <w:szCs w:val="16"/>
        </w:rPr>
        <w:t>Securities</w:t>
      </w:r>
    </w:p>
    <w:p w14:paraId="6E7EF8AF" w14:textId="77777777" w:rsidR="004124A6" w:rsidRPr="004124A6" w:rsidRDefault="004124A6" w:rsidP="004124A6">
      <w:pPr>
        <w:spacing w:line="240" w:lineRule="auto"/>
        <w:ind w:left="9" w:right="74"/>
        <w:rPr>
          <w:sz w:val="16"/>
          <w:szCs w:val="16"/>
        </w:rPr>
      </w:pPr>
      <w:r w:rsidRPr="004124A6">
        <w:rPr>
          <w:sz w:val="16"/>
          <w:szCs w:val="16"/>
        </w:rPr>
        <w:t xml:space="preserve">The distribution of this FSG by RaaS is authorized by BR. </w:t>
      </w:r>
    </w:p>
    <w:p w14:paraId="1817536D" w14:textId="77777777" w:rsidR="004124A6" w:rsidRPr="004124A6" w:rsidRDefault="004124A6" w:rsidP="004124A6">
      <w:pPr>
        <w:spacing w:after="0" w:line="240" w:lineRule="auto"/>
        <w:ind w:left="-6" w:right="3799"/>
        <w:rPr>
          <w:b/>
          <w:color w:val="FF0000"/>
          <w:sz w:val="16"/>
          <w:szCs w:val="16"/>
        </w:rPr>
      </w:pPr>
      <w:r w:rsidRPr="004124A6">
        <w:rPr>
          <w:b/>
          <w:color w:val="FF0000"/>
          <w:sz w:val="16"/>
          <w:szCs w:val="16"/>
        </w:rPr>
        <w:t xml:space="preserve">Our general advice service </w:t>
      </w:r>
    </w:p>
    <w:p w14:paraId="51E84E32" w14:textId="77777777" w:rsidR="004124A6" w:rsidRPr="004124A6" w:rsidRDefault="004124A6" w:rsidP="004124A6">
      <w:pPr>
        <w:spacing w:after="80" w:line="240" w:lineRule="auto"/>
        <w:ind w:left="-5"/>
        <w:rPr>
          <w:sz w:val="16"/>
          <w:szCs w:val="16"/>
        </w:rPr>
      </w:pPr>
      <w:r w:rsidRPr="004124A6">
        <w:rPr>
          <w:sz w:val="16"/>
          <w:szCs w:val="16"/>
        </w:rPr>
        <w:t>Please note that any advice given by RaaS is general advice, as the information or advice given will not take into account your particular objectives, financial situation or needs. You should, before acting on the advice, consider the appropriateness of the advice, having regard to your objectives, financial situation and needs.  If our advice relates to the acquisition, or possible acquisition, of a particular financial product you should read any relevant Prospectus, Product Disclosure Statement or like instrument.  As we only provide general advice we will not be providing a Statement of Advice.  We will provide you with recommendations on securities</w:t>
      </w:r>
    </w:p>
    <w:p w14:paraId="580CA696" w14:textId="77777777" w:rsidR="004124A6" w:rsidRPr="004124A6" w:rsidRDefault="004124A6" w:rsidP="004124A6">
      <w:pPr>
        <w:spacing w:after="0" w:line="240" w:lineRule="auto"/>
        <w:ind w:left="-6" w:right="3799"/>
        <w:rPr>
          <w:b/>
          <w:sz w:val="16"/>
          <w:szCs w:val="16"/>
        </w:rPr>
      </w:pPr>
      <w:r w:rsidRPr="004124A6">
        <w:rPr>
          <w:b/>
          <w:color w:val="FF0000"/>
          <w:sz w:val="16"/>
          <w:szCs w:val="16"/>
        </w:rPr>
        <w:t>Our dealing service</w:t>
      </w:r>
      <w:r w:rsidRPr="004124A6">
        <w:rPr>
          <w:b/>
          <w:color w:val="1155CC"/>
          <w:sz w:val="16"/>
          <w:szCs w:val="16"/>
        </w:rPr>
        <w:t xml:space="preserve"> </w:t>
      </w:r>
    </w:p>
    <w:p w14:paraId="785F9AD6" w14:textId="394ED568" w:rsidR="004124A6" w:rsidRPr="004124A6" w:rsidRDefault="004124A6" w:rsidP="004124A6">
      <w:pPr>
        <w:spacing w:after="80" w:line="240" w:lineRule="auto"/>
        <w:ind w:left="9" w:right="74"/>
        <w:rPr>
          <w:sz w:val="16"/>
          <w:szCs w:val="16"/>
        </w:rPr>
      </w:pPr>
      <w:r w:rsidRPr="004124A6">
        <w:rPr>
          <w:sz w:val="16"/>
          <w:szCs w:val="16"/>
        </w:rPr>
        <w:t>RaaS can arrange for you to invest in securities issued under a prospectus by firstly sending you the offer document and then assisting you fill out the application f</w:t>
      </w:r>
      <w:r w:rsidR="00C52DC2">
        <w:rPr>
          <w:sz w:val="16"/>
          <w:szCs w:val="16"/>
        </w:rPr>
        <w:t>or</w:t>
      </w:r>
      <w:r w:rsidRPr="004124A6">
        <w:rPr>
          <w:sz w:val="16"/>
          <w:szCs w:val="16"/>
        </w:rPr>
        <w:t xml:space="preserve">m if needed. </w:t>
      </w:r>
    </w:p>
    <w:p w14:paraId="06C3F57D" w14:textId="77777777" w:rsidR="004124A6" w:rsidRPr="004124A6" w:rsidRDefault="004124A6" w:rsidP="004124A6">
      <w:pPr>
        <w:spacing w:after="0" w:line="240" w:lineRule="auto"/>
        <w:ind w:left="-6" w:right="3799"/>
        <w:rPr>
          <w:b/>
          <w:color w:val="FF0000"/>
          <w:sz w:val="16"/>
          <w:szCs w:val="16"/>
        </w:rPr>
      </w:pPr>
      <w:r w:rsidRPr="004124A6">
        <w:rPr>
          <w:b/>
          <w:color w:val="FF0000"/>
          <w:sz w:val="16"/>
          <w:szCs w:val="16"/>
        </w:rPr>
        <w:t xml:space="preserve">How are we paid? </w:t>
      </w:r>
    </w:p>
    <w:p w14:paraId="26AD65B3" w14:textId="77777777" w:rsidR="004124A6" w:rsidRPr="004124A6" w:rsidRDefault="004124A6" w:rsidP="004124A6">
      <w:pPr>
        <w:spacing w:line="240" w:lineRule="auto"/>
        <w:ind w:left="-5" w:right="15"/>
        <w:rPr>
          <w:sz w:val="16"/>
          <w:szCs w:val="16"/>
        </w:rPr>
      </w:pPr>
      <w:r w:rsidRPr="004124A6">
        <w:rPr>
          <w:sz w:val="16"/>
          <w:szCs w:val="16"/>
        </w:rPr>
        <w:t xml:space="preserve">RaaS earns fees for producing research reports. Sometimes these fees are from companies for producing research reports and/or a financial model. When the fee is derived from a company, this is clearly highlighted on the front page of the report and in the disclaimers and disclosures section of the report.  </w:t>
      </w:r>
    </w:p>
    <w:p w14:paraId="65233AB9" w14:textId="77777777" w:rsidR="004124A6" w:rsidRPr="004124A6" w:rsidRDefault="004124A6" w:rsidP="004124A6">
      <w:pPr>
        <w:spacing w:after="80" w:line="240" w:lineRule="auto"/>
        <w:ind w:left="-5" w:right="15"/>
        <w:rPr>
          <w:color w:val="1155CC"/>
          <w:sz w:val="16"/>
          <w:szCs w:val="16"/>
        </w:rPr>
      </w:pPr>
      <w:r w:rsidRPr="004124A6">
        <w:rPr>
          <w:sz w:val="16"/>
          <w:szCs w:val="16"/>
        </w:rPr>
        <w:t>We may also receive a fee for our dealing service, from the company issuing the securities.</w:t>
      </w:r>
    </w:p>
    <w:p w14:paraId="1390BBFA" w14:textId="77777777" w:rsidR="004124A6" w:rsidRPr="004124A6" w:rsidRDefault="004124A6" w:rsidP="004124A6">
      <w:pPr>
        <w:spacing w:after="0" w:line="240" w:lineRule="auto"/>
        <w:ind w:left="-6" w:right="3799"/>
        <w:rPr>
          <w:b/>
          <w:color w:val="1155CC"/>
          <w:sz w:val="16"/>
          <w:szCs w:val="16"/>
        </w:rPr>
      </w:pPr>
      <w:r w:rsidRPr="004124A6">
        <w:rPr>
          <w:b/>
          <w:color w:val="FF0000"/>
          <w:sz w:val="16"/>
          <w:szCs w:val="16"/>
        </w:rPr>
        <w:t>Associations and Relationships</w:t>
      </w:r>
      <w:r w:rsidRPr="004124A6">
        <w:rPr>
          <w:b/>
          <w:color w:val="1155CC"/>
          <w:sz w:val="16"/>
          <w:szCs w:val="16"/>
        </w:rPr>
        <w:t xml:space="preserve">  </w:t>
      </w:r>
    </w:p>
    <w:p w14:paraId="32882775" w14:textId="77777777" w:rsidR="004124A6" w:rsidRPr="004124A6" w:rsidRDefault="004124A6" w:rsidP="004124A6">
      <w:pPr>
        <w:spacing w:after="80" w:line="240" w:lineRule="auto"/>
        <w:rPr>
          <w:sz w:val="16"/>
          <w:szCs w:val="16"/>
        </w:rPr>
      </w:pPr>
      <w:r w:rsidRPr="004124A6">
        <w:rPr>
          <w:sz w:val="16"/>
          <w:szCs w:val="16"/>
        </w:rPr>
        <w:t xml:space="preserve">BR, RaaS, its directors and related parties have no associations or relationships with any product issuers other than when advising retail clients to invest in managed funds when the managers of these funds may also be clients of BR. RaaS’s representatives may from time to time deal in or otherwise have a financial interest in financial products recommended to you but any material ownership will be disclosed to you when relevant advice is provided. </w:t>
      </w:r>
    </w:p>
    <w:p w14:paraId="2C5E91D7" w14:textId="77777777" w:rsidR="004124A6" w:rsidRPr="004124A6" w:rsidRDefault="004124A6" w:rsidP="004124A6">
      <w:pPr>
        <w:spacing w:after="0" w:line="240" w:lineRule="auto"/>
        <w:ind w:left="-6" w:right="3799"/>
        <w:rPr>
          <w:b/>
          <w:color w:val="FF0000"/>
          <w:sz w:val="16"/>
          <w:szCs w:val="16"/>
        </w:rPr>
      </w:pPr>
      <w:r w:rsidRPr="004124A6">
        <w:rPr>
          <w:b/>
          <w:color w:val="FF0000"/>
          <w:sz w:val="16"/>
          <w:szCs w:val="16"/>
        </w:rPr>
        <w:t xml:space="preserve">Complaints </w:t>
      </w:r>
    </w:p>
    <w:p w14:paraId="430DB2E2" w14:textId="77777777" w:rsidR="004124A6" w:rsidRPr="004124A6" w:rsidRDefault="004124A6" w:rsidP="004124A6">
      <w:pPr>
        <w:spacing w:line="240" w:lineRule="auto"/>
        <w:ind w:left="9" w:right="18"/>
        <w:rPr>
          <w:sz w:val="16"/>
          <w:szCs w:val="16"/>
        </w:rPr>
      </w:pPr>
      <w:r w:rsidRPr="004124A6">
        <w:rPr>
          <w:sz w:val="16"/>
          <w:szCs w:val="16"/>
        </w:rPr>
        <w:t xml:space="preserve">If you have a complaint about our service you should contact your representative and tell them about your complaint. </w:t>
      </w:r>
      <w:r w:rsidRPr="004124A6">
        <w:rPr>
          <w:rFonts w:ascii="Times New Roman" w:eastAsia="Times New Roman" w:hAnsi="Times New Roman" w:cs="Times New Roman"/>
          <w:sz w:val="16"/>
          <w:szCs w:val="16"/>
        </w:rPr>
        <w:t xml:space="preserve"> </w:t>
      </w:r>
      <w:r w:rsidRPr="004124A6">
        <w:rPr>
          <w:sz w:val="16"/>
          <w:szCs w:val="16"/>
        </w:rPr>
        <w:t>The representative will follow BR’s internal dispute resolution policy, which includes sending you a copy of the policy when required to.  If you aren’t satisfied with an outcome, you may contact AFCA, see below.</w:t>
      </w:r>
    </w:p>
    <w:p w14:paraId="7F945067" w14:textId="77777777" w:rsidR="004124A6" w:rsidRPr="004124A6" w:rsidRDefault="004124A6" w:rsidP="004124A6">
      <w:pPr>
        <w:spacing w:line="240" w:lineRule="auto"/>
        <w:ind w:left="20"/>
        <w:contextualSpacing/>
        <w:rPr>
          <w:sz w:val="16"/>
          <w:szCs w:val="16"/>
        </w:rPr>
      </w:pPr>
      <w:r w:rsidRPr="004124A6">
        <w:rPr>
          <w:sz w:val="16"/>
          <w:szCs w:val="16"/>
        </w:rPr>
        <w:t xml:space="preserve">BR is a member of the Australian Financial Complaints Authority (AFCA).  AFCA provide fair and independent financial services complaint resolution that is free to consumers. </w:t>
      </w:r>
    </w:p>
    <w:p w14:paraId="77DD8A7B" w14:textId="77777777" w:rsidR="004124A6" w:rsidRPr="004124A6" w:rsidRDefault="004124A6" w:rsidP="004124A6">
      <w:pPr>
        <w:spacing w:after="120" w:line="240" w:lineRule="auto"/>
        <w:ind w:left="20"/>
        <w:contextualSpacing/>
        <w:rPr>
          <w:sz w:val="16"/>
          <w:szCs w:val="16"/>
        </w:rPr>
      </w:pPr>
      <w:r w:rsidRPr="004124A6">
        <w:rPr>
          <w:sz w:val="16"/>
          <w:szCs w:val="16"/>
        </w:rPr>
        <w:t xml:space="preserve"> </w:t>
      </w:r>
      <w:r w:rsidRPr="004124A6">
        <w:rPr>
          <w:sz w:val="16"/>
          <w:szCs w:val="16"/>
        </w:rPr>
        <w:tab/>
        <w:t xml:space="preserve">Website: </w:t>
      </w:r>
      <w:hyperlink r:id="rId11" w:history="1">
        <w:r w:rsidRPr="004124A6">
          <w:rPr>
            <w:sz w:val="16"/>
            <w:szCs w:val="16"/>
            <w:u w:val="single"/>
          </w:rPr>
          <w:t>www.afca.org.au</w:t>
        </w:r>
      </w:hyperlink>
      <w:r w:rsidRPr="004124A6">
        <w:rPr>
          <w:sz w:val="16"/>
          <w:szCs w:val="16"/>
          <w:u w:val="single"/>
        </w:rPr>
        <w:t xml:space="preserve">; </w:t>
      </w:r>
      <w:r w:rsidRPr="004124A6">
        <w:rPr>
          <w:sz w:val="16"/>
          <w:szCs w:val="16"/>
        </w:rPr>
        <w:t xml:space="preserve">Email: </w:t>
      </w:r>
      <w:hyperlink r:id="rId12" w:history="1">
        <w:r w:rsidRPr="004124A6">
          <w:rPr>
            <w:sz w:val="16"/>
            <w:szCs w:val="16"/>
            <w:u w:val="single"/>
          </w:rPr>
          <w:t>info@afca.org.au</w:t>
        </w:r>
      </w:hyperlink>
      <w:r w:rsidRPr="004124A6">
        <w:rPr>
          <w:color w:val="0000FF" w:themeColor="hyperlink"/>
          <w:sz w:val="16"/>
          <w:szCs w:val="16"/>
          <w:u w:val="single"/>
        </w:rPr>
        <w:t xml:space="preserve">; </w:t>
      </w:r>
      <w:r w:rsidRPr="004124A6">
        <w:rPr>
          <w:sz w:val="16"/>
          <w:szCs w:val="16"/>
        </w:rPr>
        <w:t>Telephone: 1800931678 (free call)</w:t>
      </w:r>
    </w:p>
    <w:p w14:paraId="091695AF" w14:textId="77777777" w:rsidR="004124A6" w:rsidRPr="004124A6" w:rsidRDefault="004124A6" w:rsidP="004124A6">
      <w:pPr>
        <w:spacing w:line="240" w:lineRule="auto"/>
        <w:ind w:left="709"/>
        <w:contextualSpacing/>
        <w:rPr>
          <w:sz w:val="16"/>
          <w:szCs w:val="16"/>
        </w:rPr>
      </w:pPr>
      <w:r w:rsidRPr="004124A6">
        <w:rPr>
          <w:sz w:val="16"/>
          <w:szCs w:val="16"/>
        </w:rPr>
        <w:t>In writing to: Australian Financial Complaints Authority, GPO Box 3, Melbourne, VIC, 3001.</w:t>
      </w:r>
    </w:p>
    <w:p w14:paraId="42791DEF" w14:textId="77777777" w:rsidR="004124A6" w:rsidRPr="004124A6" w:rsidRDefault="004124A6" w:rsidP="004124A6">
      <w:pPr>
        <w:spacing w:after="0" w:line="240" w:lineRule="auto"/>
        <w:rPr>
          <w:b/>
          <w:color w:val="FF0000"/>
          <w:sz w:val="16"/>
          <w:szCs w:val="16"/>
        </w:rPr>
      </w:pPr>
    </w:p>
    <w:p w14:paraId="3B7E3EFA" w14:textId="77777777" w:rsidR="004124A6" w:rsidRPr="004124A6" w:rsidRDefault="004124A6" w:rsidP="004124A6">
      <w:pPr>
        <w:spacing w:after="0" w:line="240" w:lineRule="auto"/>
        <w:rPr>
          <w:b/>
          <w:color w:val="FF0000"/>
          <w:sz w:val="16"/>
          <w:szCs w:val="16"/>
        </w:rPr>
      </w:pPr>
      <w:r w:rsidRPr="004124A6">
        <w:rPr>
          <w:b/>
          <w:color w:val="FF0000"/>
          <w:sz w:val="16"/>
          <w:szCs w:val="16"/>
        </w:rPr>
        <w:t xml:space="preserve">Professional Indemnity Insurance  </w:t>
      </w:r>
    </w:p>
    <w:p w14:paraId="7542DEE6" w14:textId="77777777" w:rsidR="004124A6" w:rsidRPr="004124A6" w:rsidRDefault="004124A6" w:rsidP="004124A6">
      <w:pPr>
        <w:spacing w:line="240" w:lineRule="auto"/>
        <w:rPr>
          <w:b/>
          <w:color w:val="FF0000"/>
          <w:sz w:val="16"/>
          <w:szCs w:val="16"/>
        </w:rPr>
      </w:pPr>
      <w:r w:rsidRPr="004124A6">
        <w:rPr>
          <w:sz w:val="16"/>
          <w:szCs w:val="16"/>
        </w:rPr>
        <w:t xml:space="preserve">BR has in place Professional Indemnity Insurance which satisfies the requirements for compensation under s912B of the Corporations Act and that covers our authorized representatives. </w:t>
      </w:r>
    </w:p>
    <w:p w14:paraId="5EA21754" w14:textId="77777777" w:rsidR="000C624E" w:rsidRDefault="000C624E"/>
    <w:p w14:paraId="0B65EA01" w14:textId="77777777" w:rsidR="000C624E" w:rsidRDefault="000C624E"/>
    <w:p w14:paraId="5FCEDED6" w14:textId="77777777" w:rsidR="000C624E" w:rsidRDefault="000C624E"/>
    <w:p w14:paraId="1E47939B" w14:textId="77777777" w:rsidR="000C624E" w:rsidRDefault="000C624E"/>
    <w:p w14:paraId="3AF66F4F" w14:textId="77777777" w:rsidR="000C624E" w:rsidRDefault="000C624E"/>
    <w:p w14:paraId="1B1906EA" w14:textId="77777777" w:rsidR="000C624E" w:rsidRDefault="000C624E"/>
    <w:p w14:paraId="2A2AF0FD" w14:textId="77777777" w:rsidR="000C624E" w:rsidRDefault="000C624E"/>
    <w:p w14:paraId="4C6BD34E" w14:textId="77777777" w:rsidR="000C624E" w:rsidRDefault="000C624E"/>
    <w:p w14:paraId="5F96366B" w14:textId="77777777" w:rsidR="000C624E" w:rsidRDefault="000C624E"/>
    <w:p w14:paraId="20B293F8" w14:textId="77777777" w:rsidR="000C624E" w:rsidRDefault="000C624E"/>
    <w:p w14:paraId="7DE3568C" w14:textId="77777777" w:rsidR="000C624E" w:rsidRDefault="000C624E"/>
    <w:p w14:paraId="157C47AD" w14:textId="77777777" w:rsidR="000C624E" w:rsidRDefault="000C624E"/>
    <w:p w14:paraId="5BD6736A" w14:textId="77777777" w:rsidR="000C624E" w:rsidRDefault="000C624E"/>
    <w:p w14:paraId="4D1692DB" w14:textId="77777777" w:rsidR="000C624E" w:rsidRDefault="000C624E"/>
    <w:p w14:paraId="760CC43B" w14:textId="77777777" w:rsidR="004662F8" w:rsidRDefault="004662F8"/>
    <w:p w14:paraId="62D1021E" w14:textId="77777777" w:rsidR="004662F8" w:rsidRDefault="004662F8"/>
    <w:p w14:paraId="074B2E51" w14:textId="77777777" w:rsidR="000C624E" w:rsidRDefault="000C624E"/>
    <w:p w14:paraId="6650F08C" w14:textId="77777777" w:rsidR="004124A6" w:rsidRDefault="004124A6" w:rsidP="00155702">
      <w:pPr>
        <w:rPr>
          <w:rFonts w:ascii="Calibri" w:hAnsi="Calibri" w:cs="Calibri"/>
          <w:sz w:val="16"/>
          <w:szCs w:val="16"/>
        </w:rPr>
      </w:pPr>
    </w:p>
    <w:p w14:paraId="23892E7C" w14:textId="77777777" w:rsidR="004124A6" w:rsidRDefault="004124A6" w:rsidP="00155702">
      <w:pPr>
        <w:rPr>
          <w:rFonts w:ascii="Calibri" w:hAnsi="Calibri" w:cs="Calibri"/>
          <w:sz w:val="16"/>
          <w:szCs w:val="16"/>
        </w:rPr>
      </w:pPr>
    </w:p>
    <w:p w14:paraId="3B5FB085" w14:textId="77777777" w:rsidR="00AD4F19" w:rsidRPr="00EF3EC5" w:rsidRDefault="00AD4F19" w:rsidP="00AD4F19">
      <w:pPr>
        <w:rPr>
          <w:sz w:val="16"/>
          <w:szCs w:val="16"/>
        </w:rPr>
      </w:pPr>
      <w:r w:rsidRPr="00EF3EC5">
        <w:rPr>
          <w:sz w:val="16"/>
          <w:szCs w:val="16"/>
        </w:rPr>
        <w:t>DISCLAIMERS and DISCLOSURES</w:t>
      </w:r>
    </w:p>
    <w:p w14:paraId="6103A5CC" w14:textId="354A9532" w:rsidR="00AD4F19" w:rsidRPr="00EF3EC5" w:rsidRDefault="00AD4F19" w:rsidP="00AD4F19">
      <w:pPr>
        <w:rPr>
          <w:sz w:val="16"/>
          <w:szCs w:val="16"/>
        </w:rPr>
      </w:pPr>
      <w:r w:rsidRPr="00EF3EC5">
        <w:rPr>
          <w:sz w:val="16"/>
          <w:szCs w:val="16"/>
        </w:rPr>
        <w:t xml:space="preserve">This report has been prepared and issued by RaaS Advisory Pty Ltd. </w:t>
      </w:r>
      <w:r w:rsidRPr="00EF3EC5">
        <w:rPr>
          <w:sz w:val="16"/>
          <w:szCs w:val="16"/>
          <w:lang w:eastAsia="en-AU"/>
        </w:rPr>
        <w:t>RaaS Advisory’s principals, employees and associates may hold shares in companies that are covered and, if so, this will be clearly stated on the front page of each report.</w:t>
      </w:r>
      <w:r w:rsidRPr="00EF3EC5">
        <w:rPr>
          <w:sz w:val="16"/>
          <w:szCs w:val="16"/>
        </w:rPr>
        <w:t xml:space="preserve"> This research is issued in Australia by RaaS Advisory and any access to it should be read in conjunction with the Financial Services Guide on the preceding two pages. All information used in the publication of this report has been compiled from publicly available sources that are believed to be reliable. Opinions contained in this report represent those of the principals of RaaS Advisory at the time of publication. RaaS Advisory provides this financial advice as an honest and reasonable opinion held at a point in time about an investment’s risk profile and merit and the information is provided by the RaaS Advisory in good faith.  The views of the adviser(s) do not necessarily reflect the views of the AFS Licensee.  RaaS Advisory has no obligation to update the opinion unless RaaS Advisory is currently contracted to provide such an updated opinion. RaaS Advisory does not warrant the accuracy of any information it sources from others.  All statements as to future matters are not guaranteed to be accurate and any statements as to past performance do not represent future performance.  </w:t>
      </w:r>
    </w:p>
    <w:p w14:paraId="43045630" w14:textId="77777777" w:rsidR="002A4995" w:rsidRPr="00AE1906" w:rsidRDefault="002A4995" w:rsidP="002A4995">
      <w:pPr>
        <w:rPr>
          <w:sz w:val="16"/>
          <w:szCs w:val="16"/>
        </w:rPr>
      </w:pPr>
      <w:r w:rsidRPr="00AE1906">
        <w:rPr>
          <w:sz w:val="16"/>
          <w:szCs w:val="16"/>
        </w:rPr>
        <w:t xml:space="preserve">Assessment of risk can be subjective. Portfolios of equity investments need to be well diversified and the risk appropriate for the investor. Equity investments in listed or unlisted companies yet to achieve a profit or with an equity value less than $50 million should collectively be a small component of a balanced portfolio, with smaller individual investment sizes than otherwise.  </w:t>
      </w:r>
    </w:p>
    <w:p w14:paraId="186B56B1" w14:textId="77777777" w:rsidR="002A4995" w:rsidRPr="00AE1906" w:rsidRDefault="002A4995" w:rsidP="002A4995">
      <w:pPr>
        <w:rPr>
          <w:sz w:val="16"/>
          <w:szCs w:val="16"/>
        </w:rPr>
      </w:pPr>
      <w:r w:rsidRPr="00AE1906">
        <w:rPr>
          <w:sz w:val="16"/>
          <w:szCs w:val="16"/>
        </w:rPr>
        <w:t>The science of climate change is common knowledge and its impacts may damage the global economy.  Mitigating climate change may also disrupt the global economy.  Investors need to make their  own assessments and we disclaim any liability for the impact of either climate change or mitigating strategies on any investment we recommend.</w:t>
      </w:r>
    </w:p>
    <w:p w14:paraId="68E98350" w14:textId="36C2F9D6" w:rsidR="002A4995" w:rsidRDefault="002A4995" w:rsidP="002A4995">
      <w:pPr>
        <w:rPr>
          <w:rFonts w:ascii="Calibri" w:hAnsi="Calibri" w:cs="Calibri"/>
          <w:sz w:val="16"/>
          <w:szCs w:val="16"/>
        </w:rPr>
      </w:pPr>
      <w:r w:rsidRPr="00AE1906">
        <w:rPr>
          <w:sz w:val="16"/>
          <w:szCs w:val="16"/>
        </w:rPr>
        <w:t xml:space="preserve">Investors are responsible for their own investment decisions, unless a contract stipulates otherwise.  RaaS Advisory does not stand behind the capital value or performance of any investment.  Subject to any terms implied by law and which cannot be excluded, RaaS Advisory shall not be liable for any errors, omissions, defects or misrepresentations in the information (including by reasons of negligence, negligent misstatement or otherwise) or for any loss or damage (whether direct or indirect) suffered by persons who use or rely on the information. If any law prohibits the exclusion of such liability, RaaS Advisory limits its liability to the re-supply of the Information, provided that such limitation is permitted by law and is fair and reasonable. </w:t>
      </w:r>
      <w:r w:rsidRPr="00EF3EC5">
        <w:rPr>
          <w:rFonts w:ascii="Calibri" w:hAnsi="Calibri" w:cs="Calibri"/>
          <w:sz w:val="16"/>
          <w:szCs w:val="16"/>
        </w:rPr>
        <w:t xml:space="preserve">Copyright </w:t>
      </w:r>
      <w:r w:rsidRPr="00EF3EC5">
        <w:rPr>
          <w:rFonts w:ascii="Calibri" w:hAnsi="Calibri" w:cs="Calibri"/>
          <w:sz w:val="16"/>
          <w:szCs w:val="16"/>
        </w:rPr>
        <w:fldChar w:fldCharType="begin"/>
      </w:r>
      <w:r w:rsidRPr="00EF3EC5">
        <w:rPr>
          <w:rFonts w:ascii="Calibri" w:hAnsi="Calibri" w:cs="Calibri"/>
          <w:sz w:val="16"/>
          <w:szCs w:val="16"/>
        </w:rPr>
        <w:instrText xml:space="preserve"> DATE  \@ "yyyy" </w:instrText>
      </w:r>
      <w:r w:rsidRPr="00EF3EC5">
        <w:rPr>
          <w:rFonts w:ascii="Calibri" w:hAnsi="Calibri" w:cs="Calibri"/>
          <w:sz w:val="16"/>
          <w:szCs w:val="16"/>
        </w:rPr>
        <w:fldChar w:fldCharType="separate"/>
      </w:r>
      <w:r w:rsidR="00245600">
        <w:rPr>
          <w:rFonts w:ascii="Calibri" w:hAnsi="Calibri" w:cs="Calibri"/>
          <w:noProof/>
          <w:sz w:val="16"/>
          <w:szCs w:val="16"/>
        </w:rPr>
        <w:t>2021</w:t>
      </w:r>
      <w:r w:rsidRPr="00EF3EC5">
        <w:rPr>
          <w:rFonts w:ascii="Calibri" w:hAnsi="Calibri" w:cs="Calibri"/>
          <w:sz w:val="16"/>
          <w:szCs w:val="16"/>
        </w:rPr>
        <w:fldChar w:fldCharType="end"/>
      </w:r>
      <w:r w:rsidRPr="00EF3EC5">
        <w:rPr>
          <w:rFonts w:ascii="Calibri" w:hAnsi="Calibri" w:cs="Calibri"/>
          <w:sz w:val="16"/>
          <w:szCs w:val="16"/>
        </w:rPr>
        <w:t xml:space="preserve"> RaaS Advisory Pty Ltd (A.B.N. 99 614 783 363). All rights reserved</w:t>
      </w:r>
      <w:r w:rsidRPr="00447C90">
        <w:rPr>
          <w:rFonts w:ascii="Calibri" w:hAnsi="Calibri" w:cs="Calibri"/>
          <w:sz w:val="16"/>
          <w:szCs w:val="16"/>
        </w:rPr>
        <w:t>.</w:t>
      </w:r>
    </w:p>
    <w:p w14:paraId="615F8B0C" w14:textId="77777777" w:rsidR="002A4995" w:rsidRDefault="002A4995" w:rsidP="002A4995"/>
    <w:p w14:paraId="6A3C7EBD" w14:textId="1262396C" w:rsidR="00155702" w:rsidRPr="001E6114" w:rsidRDefault="00155702" w:rsidP="00AD4F19">
      <w:pPr>
        <w:rPr>
          <w:rFonts w:ascii="Calibri" w:hAnsi="Calibri" w:cs="Calibri"/>
          <w:sz w:val="16"/>
          <w:szCs w:val="16"/>
        </w:rPr>
      </w:pPr>
    </w:p>
    <w:sectPr w:rsidR="00155702" w:rsidRPr="001E6114" w:rsidSect="0096778F">
      <w:headerReference w:type="default" r:id="rId13"/>
      <w:headerReference w:type="first" r:id="rId14"/>
      <w:pgSz w:w="11906" w:h="16838"/>
      <w:pgMar w:top="1440" w:right="1440" w:bottom="1440" w:left="1440" w:header="340"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A19AB" w14:textId="77777777" w:rsidR="00B20484" w:rsidRDefault="00B20484" w:rsidP="009D5FC6">
      <w:pPr>
        <w:spacing w:after="0" w:line="240" w:lineRule="auto"/>
      </w:pPr>
      <w:r>
        <w:separator/>
      </w:r>
    </w:p>
  </w:endnote>
  <w:endnote w:type="continuationSeparator" w:id="0">
    <w:p w14:paraId="022ED62C" w14:textId="77777777" w:rsidR="00B20484" w:rsidRDefault="00B20484" w:rsidP="009D5FC6">
      <w:pPr>
        <w:spacing w:after="0" w:line="240" w:lineRule="auto"/>
      </w:pPr>
      <w:r>
        <w:continuationSeparator/>
      </w:r>
    </w:p>
  </w:endnote>
  <w:endnote w:type="continuationNotice" w:id="1">
    <w:p w14:paraId="40ED3DBA" w14:textId="77777777" w:rsidR="00B20484" w:rsidRDefault="00B204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ED554" w14:textId="77777777" w:rsidR="00B20484" w:rsidRDefault="00B20484" w:rsidP="009D5FC6">
      <w:pPr>
        <w:spacing w:after="0" w:line="240" w:lineRule="auto"/>
      </w:pPr>
      <w:r>
        <w:separator/>
      </w:r>
    </w:p>
  </w:footnote>
  <w:footnote w:type="continuationSeparator" w:id="0">
    <w:p w14:paraId="1416C548" w14:textId="77777777" w:rsidR="00B20484" w:rsidRDefault="00B20484" w:rsidP="009D5FC6">
      <w:pPr>
        <w:spacing w:after="0" w:line="240" w:lineRule="auto"/>
      </w:pPr>
      <w:r>
        <w:continuationSeparator/>
      </w:r>
    </w:p>
  </w:footnote>
  <w:footnote w:type="continuationNotice" w:id="1">
    <w:p w14:paraId="019856FD" w14:textId="77777777" w:rsidR="00B20484" w:rsidRDefault="00B204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8BE9" w14:textId="4B639921" w:rsidR="00032454" w:rsidRPr="00C242F5" w:rsidRDefault="00922772" w:rsidP="000B5962">
    <w:pPr>
      <w:pStyle w:val="Header"/>
      <w:spacing w:after="0"/>
    </w:pPr>
    <w:r>
      <w:rPr>
        <w:b/>
        <w:noProof/>
        <w:color w:val="4BACC6" w:themeColor="accent5"/>
        <w:sz w:val="36"/>
        <w:szCs w:val="36"/>
        <w:lang w:val="en-AU" w:eastAsia="en-AU"/>
      </w:rPr>
      <mc:AlternateContent>
        <mc:Choice Requires="wps">
          <w:drawing>
            <wp:anchor distT="0" distB="0" distL="114300" distR="114300" simplePos="0" relativeHeight="251658241" behindDoc="0" locked="0" layoutInCell="1" allowOverlap="1" wp14:anchorId="46F66194" wp14:editId="7BB03919">
              <wp:simplePos x="0" y="0"/>
              <wp:positionH relativeFrom="column">
                <wp:posOffset>4657725</wp:posOffset>
              </wp:positionH>
              <wp:positionV relativeFrom="paragraph">
                <wp:posOffset>-53975</wp:posOffset>
              </wp:positionV>
              <wp:extent cx="1400175" cy="838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400175" cy="838200"/>
                      </a:xfrm>
                      <a:prstGeom prst="rect">
                        <a:avLst/>
                      </a:prstGeom>
                      <a:noFill/>
                      <a:ln w="6350">
                        <a:noFill/>
                      </a:ln>
                    </wps:spPr>
                    <wps:txbx>
                      <w:txbxContent>
                        <w:p w14:paraId="1459E1D9" w14:textId="43CF0B29" w:rsidR="00922772" w:rsidRDefault="00922772">
                          <w:r w:rsidRPr="00922772">
                            <w:rPr>
                              <w:noProof/>
                            </w:rPr>
                            <w:drawing>
                              <wp:inline distT="0" distB="0" distL="0" distR="0" wp14:anchorId="742A585A" wp14:editId="53FBE384">
                                <wp:extent cx="942975" cy="77814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5341" cy="7883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F66194" id="_x0000_t202" coordsize="21600,21600" o:spt="202" path="m,l,21600r21600,l21600,xe">
              <v:stroke joinstyle="miter"/>
              <v:path gradientshapeok="t" o:connecttype="rect"/>
            </v:shapetype>
            <v:shape id="Text Box 7" o:spid="_x0000_s1026" type="#_x0000_t202" style="position:absolute;margin-left:366.75pt;margin-top:-4.25pt;width:110.25pt;height:66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" filled="f" stroked="f" strokeweight=".5pt">
              <v:textbox>
                <w:txbxContent>
                  <w:p w14:paraId="1459E1D9" w14:textId="43CF0B29" w:rsidR="00922772" w:rsidRDefault="00922772">
                    <w:r w:rsidRPr="00922772">
                      <w:rPr>
                        <w:noProof/>
                      </w:rPr>
                      <w:drawing>
                        <wp:inline distT="0" distB="0" distL="0" distR="0" wp14:anchorId="742A585A" wp14:editId="53FBE384">
                          <wp:extent cx="942975" cy="77814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5341" cy="788344"/>
                                  </a:xfrm>
                                  <a:prstGeom prst="rect">
                                    <a:avLst/>
                                  </a:prstGeom>
                                  <a:noFill/>
                                  <a:ln>
                                    <a:noFill/>
                                  </a:ln>
                                </pic:spPr>
                              </pic:pic>
                            </a:graphicData>
                          </a:graphic>
                        </wp:inline>
                      </w:drawing>
                    </w:r>
                  </w:p>
                </w:txbxContent>
              </v:textbox>
            </v:shape>
          </w:pict>
        </mc:Fallback>
      </mc:AlternateContent>
    </w:r>
    <w:r w:rsidR="000B5962">
      <w:rPr>
        <w:b/>
        <w:noProof/>
        <w:color w:val="4BACC6" w:themeColor="accent5"/>
        <w:sz w:val="36"/>
        <w:szCs w:val="36"/>
        <w:lang w:val="en-AU" w:eastAsia="en-AU"/>
      </w:rPr>
      <w:drawing>
        <wp:inline distT="0" distB="0" distL="0" distR="0" wp14:anchorId="38A3E97A" wp14:editId="0340CD02">
          <wp:extent cx="1171575" cy="8269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73613" cy="828432"/>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478D" w14:textId="77777777" w:rsidR="000C624E" w:rsidRPr="00155702" w:rsidRDefault="006B70AD" w:rsidP="00C80E1A">
    <w:pPr>
      <w:pStyle w:val="Header"/>
      <w:rPr>
        <w:b/>
        <w:color w:val="FF0000"/>
        <w:sz w:val="16"/>
        <w:szCs w:val="16"/>
      </w:rPr>
    </w:pPr>
    <w:r>
      <w:rPr>
        <w:b/>
        <w:noProof/>
        <w:color w:val="4BACC6" w:themeColor="accent5"/>
        <w:sz w:val="36"/>
        <w:szCs w:val="36"/>
        <w:lang w:val="en-AU" w:eastAsia="en-AU"/>
      </w:rPr>
      <mc:AlternateContent>
        <mc:Choice Requires="wps">
          <w:drawing>
            <wp:anchor distT="0" distB="0" distL="114300" distR="114300" simplePos="0" relativeHeight="251658240" behindDoc="0" locked="0" layoutInCell="1" allowOverlap="1" wp14:anchorId="680582F1" wp14:editId="44B30B63">
              <wp:simplePos x="0" y="0"/>
              <wp:positionH relativeFrom="column">
                <wp:posOffset>4305301</wp:posOffset>
              </wp:positionH>
              <wp:positionV relativeFrom="paragraph">
                <wp:posOffset>-149224</wp:posOffset>
              </wp:positionV>
              <wp:extent cx="1485900" cy="1104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485900" cy="110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35797" w14:textId="077B6A35" w:rsidR="00C36E79" w:rsidRDefault="001F39A5">
                          <w:pPr>
                            <w:rPr>
                              <w:rFonts w:ascii="Constantia" w:hAnsi="Constantia"/>
                              <w:b/>
                              <w:i/>
                              <w:color w:val="E20000"/>
                              <w:sz w:val="52"/>
                              <w:szCs w:val="52"/>
                            </w:rPr>
                          </w:pPr>
                          <w:r w:rsidRPr="001F39A5">
                            <w:rPr>
                              <w:noProof/>
                            </w:rPr>
                            <w:drawing>
                              <wp:inline distT="0" distB="0" distL="0" distR="0" wp14:anchorId="396618C5" wp14:editId="26F3BDAB">
                                <wp:extent cx="1422131" cy="1171201"/>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304" cy="1224874"/>
                                        </a:xfrm>
                                        <a:prstGeom prst="rect">
                                          <a:avLst/>
                                        </a:prstGeom>
                                        <a:noFill/>
                                        <a:ln>
                                          <a:noFill/>
                                        </a:ln>
                                      </pic:spPr>
                                    </pic:pic>
                                  </a:graphicData>
                                </a:graphic>
                              </wp:inline>
                            </w:drawing>
                          </w:r>
                        </w:p>
                        <w:p w14:paraId="66F1BCD2" w14:textId="77777777" w:rsidR="00C36E79" w:rsidRPr="00DA7509" w:rsidRDefault="00C36E79">
                          <w:pPr>
                            <w:rPr>
                              <w:rFonts w:ascii="Constantia" w:hAnsi="Constantia"/>
                              <w:b/>
                              <w:i/>
                              <w:color w:val="E20000"/>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582F1" id="_x0000_t202" coordsize="21600,21600" o:spt="202" path="m,l,21600r21600,l21600,xe">
              <v:stroke joinstyle="miter"/>
              <v:path gradientshapeok="t" o:connecttype="rect"/>
            </v:shapetype>
            <v:shape id="Text Box 1" o:spid="_x0000_s1027" type="#_x0000_t202" style="position:absolute;margin-left:339pt;margin-top:-11.75pt;width:117pt;height: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" filled="f" stroked="f" strokeweight=".5pt">
              <v:textbox>
                <w:txbxContent>
                  <w:p w14:paraId="2F835797" w14:textId="077B6A35" w:rsidR="00C36E79" w:rsidRDefault="001F39A5">
                    <w:pPr>
                      <w:rPr>
                        <w:rFonts w:ascii="Constantia" w:hAnsi="Constantia"/>
                        <w:b/>
                        <w:i/>
                        <w:color w:val="E20000"/>
                        <w:sz w:val="52"/>
                        <w:szCs w:val="52"/>
                      </w:rPr>
                    </w:pPr>
                    <w:r w:rsidRPr="001F39A5">
                      <w:rPr>
                        <w:noProof/>
                      </w:rPr>
                      <w:drawing>
                        <wp:inline distT="0" distB="0" distL="0" distR="0" wp14:anchorId="396618C5" wp14:editId="26F3BDAB">
                          <wp:extent cx="1422131" cy="1171201"/>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304" cy="1224874"/>
                                  </a:xfrm>
                                  <a:prstGeom prst="rect">
                                    <a:avLst/>
                                  </a:prstGeom>
                                  <a:noFill/>
                                  <a:ln>
                                    <a:noFill/>
                                  </a:ln>
                                </pic:spPr>
                              </pic:pic>
                            </a:graphicData>
                          </a:graphic>
                        </wp:inline>
                      </w:drawing>
                    </w:r>
                  </w:p>
                  <w:p w14:paraId="66F1BCD2" w14:textId="77777777" w:rsidR="00C36E79" w:rsidRPr="00DA7509" w:rsidRDefault="00C36E79">
                    <w:pPr>
                      <w:rPr>
                        <w:rFonts w:ascii="Constantia" w:hAnsi="Constantia"/>
                        <w:b/>
                        <w:i/>
                        <w:color w:val="E20000"/>
                        <w:sz w:val="52"/>
                        <w:szCs w:val="52"/>
                      </w:rPr>
                    </w:pPr>
                  </w:p>
                </w:txbxContent>
              </v:textbox>
            </v:shape>
          </w:pict>
        </mc:Fallback>
      </mc:AlternateContent>
    </w:r>
    <w:r w:rsidR="00201978">
      <w:rPr>
        <w:b/>
        <w:noProof/>
        <w:color w:val="4BACC6" w:themeColor="accent5"/>
        <w:sz w:val="36"/>
        <w:szCs w:val="36"/>
        <w:lang w:val="en-AU" w:eastAsia="en-AU"/>
      </w:rPr>
      <w:drawing>
        <wp:inline distT="0" distB="0" distL="0" distR="0" wp14:anchorId="7E29F77D" wp14:editId="77E03205">
          <wp:extent cx="1554480" cy="1097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4480" cy="1097280"/>
                  </a:xfrm>
                  <a:prstGeom prst="rect">
                    <a:avLst/>
                  </a:prstGeom>
                  <a:noFill/>
                </pic:spPr>
              </pic:pic>
            </a:graphicData>
          </a:graphic>
        </wp:inline>
      </w:drawing>
    </w:r>
    <w:r w:rsidR="00DE1448">
      <w:rPr>
        <w:b/>
        <w:noProof/>
        <w:color w:val="4BACC6" w:themeColor="accent5"/>
        <w:sz w:val="36"/>
        <w:szCs w:val="36"/>
        <w:lang w:val="en-AU" w:eastAsia="en-AU"/>
      </w:rPr>
      <w:tab/>
    </w:r>
    <w:r w:rsidR="00DE1448" w:rsidRPr="00DE1448">
      <w:rPr>
        <w:b/>
        <w:noProof/>
        <w:color w:val="FF0000"/>
        <w:sz w:val="36"/>
        <w:szCs w:val="36"/>
        <w:lang w:val="en-AU" w:eastAsia="en-AU"/>
      </w:rPr>
      <w:tab/>
    </w:r>
    <w:r w:rsidR="00AA1C66">
      <w:rPr>
        <w:b/>
        <w:noProof/>
        <w:color w:val="FF0000"/>
        <w:sz w:val="36"/>
        <w:szCs w:val="36"/>
        <w:lang w:val="en-AU" w:eastAsia="en-AU"/>
      </w:rPr>
      <w:tab/>
    </w:r>
    <w:r w:rsidR="00DE1448">
      <w:rPr>
        <w:b/>
        <w:noProof/>
        <w:color w:val="FF0000"/>
        <w:sz w:val="36"/>
        <w:szCs w:val="36"/>
        <w:lang w:val="en-AU" w:eastAsia="en-AU"/>
      </w:rPr>
      <w:tab/>
    </w:r>
  </w:p>
  <w:tbl>
    <w:tblPr>
      <w:tblpPr w:vertAnchor="page" w:horzAnchor="page" w:tblpX="8081" w:tblpY="1957"/>
      <w:tblW w:w="3346" w:type="dxa"/>
      <w:tblLayout w:type="fixed"/>
      <w:tblCellMar>
        <w:left w:w="0" w:type="dxa"/>
        <w:right w:w="0" w:type="dxa"/>
      </w:tblCellMar>
      <w:tblLook w:val="04A0" w:firstRow="1" w:lastRow="0" w:firstColumn="1" w:lastColumn="0" w:noHBand="0" w:noVBand="1"/>
    </w:tblPr>
    <w:tblGrid>
      <w:gridCol w:w="3346"/>
    </w:tblGrid>
    <w:tr w:rsidR="00032454" w14:paraId="4277A46C" w14:textId="77777777" w:rsidTr="00032454">
      <w:trPr>
        <w:trHeight w:val="142"/>
      </w:trPr>
      <w:tc>
        <w:tcPr>
          <w:tcW w:w="3346" w:type="dxa"/>
        </w:tcPr>
        <w:p w14:paraId="323F539E" w14:textId="4873EB6A" w:rsidR="00032454" w:rsidRPr="007C2C41" w:rsidRDefault="00920CEC" w:rsidP="00E146D0">
          <w:pPr>
            <w:pStyle w:val="DocDate"/>
            <w:rPr>
              <w:noProof/>
              <w:color w:val="auto"/>
            </w:rPr>
          </w:pPr>
          <w:r>
            <w:rPr>
              <w:color w:val="auto"/>
            </w:rPr>
            <w:t>3</w:t>
          </w:r>
          <w:r w:rsidRPr="00920CEC">
            <w:rPr>
              <w:color w:val="auto"/>
              <w:vertAlign w:val="superscript"/>
            </w:rPr>
            <w:t>rd</w:t>
          </w:r>
          <w:r>
            <w:rPr>
              <w:color w:val="auto"/>
            </w:rPr>
            <w:t xml:space="preserve"> May</w:t>
          </w:r>
          <w:r w:rsidR="002A4995">
            <w:rPr>
              <w:color w:val="auto"/>
            </w:rPr>
            <w:t xml:space="preserve"> 2021</w:t>
          </w:r>
        </w:p>
      </w:tc>
    </w:tr>
  </w:tbl>
  <w:p w14:paraId="02EB9CC7" w14:textId="77777777" w:rsidR="00032454" w:rsidRDefault="00032454" w:rsidP="00C6248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pt;height:9.7pt" o:bullet="t">
        <v:imagedata r:id="rId1" o:title="BD10265_"/>
      </v:shape>
    </w:pict>
  </w:numPicBullet>
  <w:abstractNum w:abstractNumId="0" w15:restartNumberingAfterBreak="0">
    <w:nsid w:val="05F704B8"/>
    <w:multiLevelType w:val="hybridMultilevel"/>
    <w:tmpl w:val="AF746730"/>
    <w:lvl w:ilvl="0" w:tplc="3D9CFE5C">
      <w:start w:val="10"/>
      <w:numFmt w:val="bullet"/>
      <w:lvlText w:val="-"/>
      <w:lvlJc w:val="left"/>
      <w:pPr>
        <w:ind w:left="1288" w:hanging="360"/>
      </w:pPr>
      <w:rPr>
        <w:rFonts w:ascii="Arial" w:eastAsia="Arial" w:hAnsi="Arial" w:cs="Arial" w:hint="default"/>
      </w:rPr>
    </w:lvl>
    <w:lvl w:ilvl="1" w:tplc="04090003">
      <w:start w:val="1"/>
      <w:numFmt w:val="bullet"/>
      <w:lvlText w:val="o"/>
      <w:lvlJc w:val="left"/>
      <w:pPr>
        <w:ind w:left="2008" w:hanging="360"/>
      </w:pPr>
      <w:rPr>
        <w:rFonts w:ascii="Courier New" w:hAnsi="Courier New" w:cs="Courier New" w:hint="default"/>
      </w:rPr>
    </w:lvl>
    <w:lvl w:ilvl="2" w:tplc="04090005">
      <w:start w:val="1"/>
      <w:numFmt w:val="bullet"/>
      <w:lvlText w:val=""/>
      <w:lvlJc w:val="left"/>
      <w:pPr>
        <w:ind w:left="2728" w:hanging="360"/>
      </w:pPr>
      <w:rPr>
        <w:rFonts w:ascii="Wingdings" w:hAnsi="Wingdings" w:hint="default"/>
      </w:rPr>
    </w:lvl>
    <w:lvl w:ilvl="3" w:tplc="04090001">
      <w:start w:val="1"/>
      <w:numFmt w:val="bullet"/>
      <w:lvlText w:val=""/>
      <w:lvlJc w:val="left"/>
      <w:pPr>
        <w:ind w:left="3448" w:hanging="360"/>
      </w:pPr>
      <w:rPr>
        <w:rFonts w:ascii="Symbol" w:hAnsi="Symbol" w:hint="default"/>
      </w:rPr>
    </w:lvl>
    <w:lvl w:ilvl="4" w:tplc="04090003">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 w15:restartNumberingAfterBreak="0">
    <w:nsid w:val="08C04ED4"/>
    <w:multiLevelType w:val="hybridMultilevel"/>
    <w:tmpl w:val="D7F2FCB6"/>
    <w:lvl w:ilvl="0" w:tplc="C4C4066E">
      <w:start w:val="10"/>
      <w:numFmt w:val="bullet"/>
      <w:lvlText w:val="-"/>
      <w:lvlJc w:val="left"/>
      <w:pPr>
        <w:ind w:left="36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40BCB"/>
    <w:multiLevelType w:val="multilevel"/>
    <w:tmpl w:val="2954EC76"/>
    <w:lvl w:ilvl="0">
      <w:start w:val="1"/>
      <w:numFmt w:val="bullet"/>
      <w:lvlText w:val=""/>
      <w:lvlJc w:val="left"/>
      <w:pPr>
        <w:tabs>
          <w:tab w:val="num" w:pos="170"/>
        </w:tabs>
        <w:ind w:left="170" w:hanging="170"/>
      </w:pPr>
      <w:rPr>
        <w:rFonts w:ascii="Wingdings" w:hAnsi="Wingdings" w:hint="default"/>
        <w:color w:val="4F81BD" w:themeColor="accent1"/>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2A5471"/>
    <w:multiLevelType w:val="hybridMultilevel"/>
    <w:tmpl w:val="52921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40302B"/>
    <w:multiLevelType w:val="multilevel"/>
    <w:tmpl w:val="4C328472"/>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164660"/>
    <w:multiLevelType w:val="multilevel"/>
    <w:tmpl w:val="26529C46"/>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E40AC9"/>
    <w:multiLevelType w:val="hybridMultilevel"/>
    <w:tmpl w:val="0944B6E8"/>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9F0464"/>
    <w:multiLevelType w:val="multilevel"/>
    <w:tmpl w:val="278CAF70"/>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115E15"/>
    <w:multiLevelType w:val="hybridMultilevel"/>
    <w:tmpl w:val="2BC2FEEA"/>
    <w:lvl w:ilvl="0" w:tplc="14C41A4E">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EE3444F"/>
    <w:multiLevelType w:val="multilevel"/>
    <w:tmpl w:val="7262BB02"/>
    <w:lvl w:ilvl="0">
      <w:start w:val="1"/>
      <w:numFmt w:val="bullet"/>
      <w:pStyle w:val="TableBullet1"/>
      <w:lvlText w:val=""/>
      <w:lvlJc w:val="left"/>
      <w:pPr>
        <w:tabs>
          <w:tab w:val="num" w:pos="170"/>
        </w:tabs>
        <w:ind w:left="170" w:hanging="170"/>
      </w:pPr>
      <w:rPr>
        <w:rFonts w:ascii="Wingdings" w:hAnsi="Wingdings" w:hint="default"/>
        <w:color w:val="4F81BD" w:themeColor="accent1"/>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253A60"/>
    <w:multiLevelType w:val="multilevel"/>
    <w:tmpl w:val="8EA84EBC"/>
    <w:lvl w:ilvl="0">
      <w:start w:val="1"/>
      <w:numFmt w:val="bullet"/>
      <w:lvlText w:val=""/>
      <w:lvlPicBulletId w:val="0"/>
      <w:lvlJc w:val="left"/>
      <w:pPr>
        <w:tabs>
          <w:tab w:val="num" w:pos="170"/>
        </w:tabs>
        <w:ind w:left="170" w:hanging="170"/>
      </w:pPr>
      <w:rPr>
        <w:rFonts w:ascii="Symbol" w:hAnsi="Symbol"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C95262"/>
    <w:multiLevelType w:val="hybridMultilevel"/>
    <w:tmpl w:val="7CB4930A"/>
    <w:lvl w:ilvl="0" w:tplc="95D8F174">
      <w:start w:val="2017"/>
      <w:numFmt w:val="decimal"/>
      <w:lvlText w:val="%1"/>
      <w:lvlJc w:val="left"/>
      <w:pPr>
        <w:ind w:left="462" w:hanging="405"/>
      </w:pPr>
      <w:rPr>
        <w:rFonts w:hint="default"/>
      </w:rPr>
    </w:lvl>
    <w:lvl w:ilvl="1" w:tplc="0C090019" w:tentative="1">
      <w:start w:val="1"/>
      <w:numFmt w:val="lowerLetter"/>
      <w:lvlText w:val="%2."/>
      <w:lvlJc w:val="left"/>
      <w:pPr>
        <w:ind w:left="1137" w:hanging="360"/>
      </w:pPr>
    </w:lvl>
    <w:lvl w:ilvl="2" w:tplc="0C09001B" w:tentative="1">
      <w:start w:val="1"/>
      <w:numFmt w:val="lowerRoman"/>
      <w:lvlText w:val="%3."/>
      <w:lvlJc w:val="right"/>
      <w:pPr>
        <w:ind w:left="1857" w:hanging="180"/>
      </w:pPr>
    </w:lvl>
    <w:lvl w:ilvl="3" w:tplc="0C09000F" w:tentative="1">
      <w:start w:val="1"/>
      <w:numFmt w:val="decimal"/>
      <w:lvlText w:val="%4."/>
      <w:lvlJc w:val="left"/>
      <w:pPr>
        <w:ind w:left="2577" w:hanging="360"/>
      </w:pPr>
    </w:lvl>
    <w:lvl w:ilvl="4" w:tplc="0C090019" w:tentative="1">
      <w:start w:val="1"/>
      <w:numFmt w:val="lowerLetter"/>
      <w:lvlText w:val="%5."/>
      <w:lvlJc w:val="left"/>
      <w:pPr>
        <w:ind w:left="3297" w:hanging="360"/>
      </w:pPr>
    </w:lvl>
    <w:lvl w:ilvl="5" w:tplc="0C09001B" w:tentative="1">
      <w:start w:val="1"/>
      <w:numFmt w:val="lowerRoman"/>
      <w:lvlText w:val="%6."/>
      <w:lvlJc w:val="right"/>
      <w:pPr>
        <w:ind w:left="4017" w:hanging="180"/>
      </w:pPr>
    </w:lvl>
    <w:lvl w:ilvl="6" w:tplc="0C09000F" w:tentative="1">
      <w:start w:val="1"/>
      <w:numFmt w:val="decimal"/>
      <w:lvlText w:val="%7."/>
      <w:lvlJc w:val="left"/>
      <w:pPr>
        <w:ind w:left="4737" w:hanging="360"/>
      </w:pPr>
    </w:lvl>
    <w:lvl w:ilvl="7" w:tplc="0C090019" w:tentative="1">
      <w:start w:val="1"/>
      <w:numFmt w:val="lowerLetter"/>
      <w:lvlText w:val="%8."/>
      <w:lvlJc w:val="left"/>
      <w:pPr>
        <w:ind w:left="5457" w:hanging="360"/>
      </w:pPr>
    </w:lvl>
    <w:lvl w:ilvl="8" w:tplc="0C09001B" w:tentative="1">
      <w:start w:val="1"/>
      <w:numFmt w:val="lowerRoman"/>
      <w:lvlText w:val="%9."/>
      <w:lvlJc w:val="right"/>
      <w:pPr>
        <w:ind w:left="6177"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7"/>
  </w:num>
  <w:num w:numId="5">
    <w:abstractNumId w:val="3"/>
  </w:num>
  <w:num w:numId="6">
    <w:abstractNumId w:val="6"/>
  </w:num>
  <w:num w:numId="7">
    <w:abstractNumId w:val="11"/>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9"/>
  </w:num>
  <w:num w:numId="13">
    <w:abstractNumId w:val="5"/>
  </w:num>
  <w:num w:numId="14">
    <w:abstractNumId w:val="10"/>
  </w:num>
  <w:num w:numId="15">
    <w:abstractNumId w:val="0"/>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C6"/>
    <w:rsid w:val="000017BC"/>
    <w:rsid w:val="00001AD0"/>
    <w:rsid w:val="00004A64"/>
    <w:rsid w:val="00005041"/>
    <w:rsid w:val="000055CA"/>
    <w:rsid w:val="000061FE"/>
    <w:rsid w:val="00006E9A"/>
    <w:rsid w:val="000100CE"/>
    <w:rsid w:val="000104C8"/>
    <w:rsid w:val="0001184B"/>
    <w:rsid w:val="00013213"/>
    <w:rsid w:val="00013C0B"/>
    <w:rsid w:val="000142E8"/>
    <w:rsid w:val="00015C12"/>
    <w:rsid w:val="00016529"/>
    <w:rsid w:val="00016615"/>
    <w:rsid w:val="00021333"/>
    <w:rsid w:val="0002198C"/>
    <w:rsid w:val="00024211"/>
    <w:rsid w:val="00024410"/>
    <w:rsid w:val="0002519E"/>
    <w:rsid w:val="00025C07"/>
    <w:rsid w:val="00025CEF"/>
    <w:rsid w:val="000260A7"/>
    <w:rsid w:val="000263B5"/>
    <w:rsid w:val="0002775C"/>
    <w:rsid w:val="0002796A"/>
    <w:rsid w:val="00027BDA"/>
    <w:rsid w:val="00030201"/>
    <w:rsid w:val="000305D6"/>
    <w:rsid w:val="00030643"/>
    <w:rsid w:val="00031C4A"/>
    <w:rsid w:val="00031F34"/>
    <w:rsid w:val="00032454"/>
    <w:rsid w:val="00032D3B"/>
    <w:rsid w:val="00034A4E"/>
    <w:rsid w:val="000350F3"/>
    <w:rsid w:val="000352E0"/>
    <w:rsid w:val="0003538E"/>
    <w:rsid w:val="00035776"/>
    <w:rsid w:val="00036FC5"/>
    <w:rsid w:val="00040BE4"/>
    <w:rsid w:val="00042115"/>
    <w:rsid w:val="00042D48"/>
    <w:rsid w:val="0004343E"/>
    <w:rsid w:val="0004778C"/>
    <w:rsid w:val="00051CE3"/>
    <w:rsid w:val="0005274D"/>
    <w:rsid w:val="00055551"/>
    <w:rsid w:val="000557E9"/>
    <w:rsid w:val="00056D3C"/>
    <w:rsid w:val="0005743D"/>
    <w:rsid w:val="0005750B"/>
    <w:rsid w:val="00057A69"/>
    <w:rsid w:val="00057B4F"/>
    <w:rsid w:val="000601A1"/>
    <w:rsid w:val="00061FAE"/>
    <w:rsid w:val="00063414"/>
    <w:rsid w:val="00071EE9"/>
    <w:rsid w:val="00072A9E"/>
    <w:rsid w:val="00072E6F"/>
    <w:rsid w:val="000747E4"/>
    <w:rsid w:val="00074941"/>
    <w:rsid w:val="00076ECD"/>
    <w:rsid w:val="000806E8"/>
    <w:rsid w:val="00081CF7"/>
    <w:rsid w:val="00085C98"/>
    <w:rsid w:val="00087B23"/>
    <w:rsid w:val="0009264B"/>
    <w:rsid w:val="00092C9A"/>
    <w:rsid w:val="00094DA9"/>
    <w:rsid w:val="00095025"/>
    <w:rsid w:val="00096AFA"/>
    <w:rsid w:val="00097930"/>
    <w:rsid w:val="000A08C4"/>
    <w:rsid w:val="000A0C64"/>
    <w:rsid w:val="000A117B"/>
    <w:rsid w:val="000A2481"/>
    <w:rsid w:val="000A303E"/>
    <w:rsid w:val="000A3A54"/>
    <w:rsid w:val="000A3D01"/>
    <w:rsid w:val="000A49C5"/>
    <w:rsid w:val="000A4DD8"/>
    <w:rsid w:val="000A6D40"/>
    <w:rsid w:val="000A7363"/>
    <w:rsid w:val="000B02F7"/>
    <w:rsid w:val="000B1837"/>
    <w:rsid w:val="000B195E"/>
    <w:rsid w:val="000B2247"/>
    <w:rsid w:val="000B39F4"/>
    <w:rsid w:val="000B3E28"/>
    <w:rsid w:val="000B46E2"/>
    <w:rsid w:val="000B5962"/>
    <w:rsid w:val="000B78FE"/>
    <w:rsid w:val="000C1306"/>
    <w:rsid w:val="000C18F7"/>
    <w:rsid w:val="000C4880"/>
    <w:rsid w:val="000C4CBB"/>
    <w:rsid w:val="000C4E55"/>
    <w:rsid w:val="000C624E"/>
    <w:rsid w:val="000D02E6"/>
    <w:rsid w:val="000D0CDE"/>
    <w:rsid w:val="000D31D4"/>
    <w:rsid w:val="000D3903"/>
    <w:rsid w:val="000D43E0"/>
    <w:rsid w:val="000D46E0"/>
    <w:rsid w:val="000D5CBE"/>
    <w:rsid w:val="000E1952"/>
    <w:rsid w:val="000E40C3"/>
    <w:rsid w:val="000E4133"/>
    <w:rsid w:val="000E4C27"/>
    <w:rsid w:val="000E4CEA"/>
    <w:rsid w:val="000E500A"/>
    <w:rsid w:val="000E6C07"/>
    <w:rsid w:val="000E7B72"/>
    <w:rsid w:val="000F0223"/>
    <w:rsid w:val="000F167C"/>
    <w:rsid w:val="000F5CE5"/>
    <w:rsid w:val="000F6E4E"/>
    <w:rsid w:val="000F76C3"/>
    <w:rsid w:val="000F7D11"/>
    <w:rsid w:val="000F7D3E"/>
    <w:rsid w:val="00100267"/>
    <w:rsid w:val="00100AD9"/>
    <w:rsid w:val="0010234E"/>
    <w:rsid w:val="00102B33"/>
    <w:rsid w:val="0010592E"/>
    <w:rsid w:val="00106D69"/>
    <w:rsid w:val="00107083"/>
    <w:rsid w:val="0010766D"/>
    <w:rsid w:val="001077B0"/>
    <w:rsid w:val="00107C30"/>
    <w:rsid w:val="001114E2"/>
    <w:rsid w:val="00111580"/>
    <w:rsid w:val="00111E3D"/>
    <w:rsid w:val="00112334"/>
    <w:rsid w:val="00112364"/>
    <w:rsid w:val="0011245F"/>
    <w:rsid w:val="00113812"/>
    <w:rsid w:val="00113BC8"/>
    <w:rsid w:val="00113E4B"/>
    <w:rsid w:val="001148DD"/>
    <w:rsid w:val="00114A64"/>
    <w:rsid w:val="001170F5"/>
    <w:rsid w:val="001173D2"/>
    <w:rsid w:val="00117430"/>
    <w:rsid w:val="00117447"/>
    <w:rsid w:val="00117C36"/>
    <w:rsid w:val="00122062"/>
    <w:rsid w:val="00122321"/>
    <w:rsid w:val="00122ED6"/>
    <w:rsid w:val="00122F87"/>
    <w:rsid w:val="00124B77"/>
    <w:rsid w:val="001264C6"/>
    <w:rsid w:val="00126D9E"/>
    <w:rsid w:val="001320FB"/>
    <w:rsid w:val="001325AA"/>
    <w:rsid w:val="00134431"/>
    <w:rsid w:val="00134925"/>
    <w:rsid w:val="00134C55"/>
    <w:rsid w:val="00137310"/>
    <w:rsid w:val="00141D63"/>
    <w:rsid w:val="00142FB1"/>
    <w:rsid w:val="00144CBC"/>
    <w:rsid w:val="00145131"/>
    <w:rsid w:val="00145D3B"/>
    <w:rsid w:val="00146368"/>
    <w:rsid w:val="001501BB"/>
    <w:rsid w:val="00150DA6"/>
    <w:rsid w:val="00153E9F"/>
    <w:rsid w:val="001550C9"/>
    <w:rsid w:val="001553A4"/>
    <w:rsid w:val="001556CA"/>
    <w:rsid w:val="00155702"/>
    <w:rsid w:val="00157ECB"/>
    <w:rsid w:val="0016345C"/>
    <w:rsid w:val="00164E0F"/>
    <w:rsid w:val="00165183"/>
    <w:rsid w:val="00166AC2"/>
    <w:rsid w:val="00166B37"/>
    <w:rsid w:val="00166B76"/>
    <w:rsid w:val="00167543"/>
    <w:rsid w:val="0017412A"/>
    <w:rsid w:val="001744EB"/>
    <w:rsid w:val="00174B3D"/>
    <w:rsid w:val="00176484"/>
    <w:rsid w:val="00176E7E"/>
    <w:rsid w:val="001804E1"/>
    <w:rsid w:val="00180A29"/>
    <w:rsid w:val="00181E38"/>
    <w:rsid w:val="0018214B"/>
    <w:rsid w:val="00185BDE"/>
    <w:rsid w:val="0018693E"/>
    <w:rsid w:val="00186C04"/>
    <w:rsid w:val="001877BE"/>
    <w:rsid w:val="001902ED"/>
    <w:rsid w:val="00193167"/>
    <w:rsid w:val="00193CA0"/>
    <w:rsid w:val="00193D27"/>
    <w:rsid w:val="0019624A"/>
    <w:rsid w:val="00196E08"/>
    <w:rsid w:val="00197CF3"/>
    <w:rsid w:val="001A169C"/>
    <w:rsid w:val="001A19D8"/>
    <w:rsid w:val="001A2A45"/>
    <w:rsid w:val="001A2AFB"/>
    <w:rsid w:val="001A32CE"/>
    <w:rsid w:val="001A33DB"/>
    <w:rsid w:val="001A34BA"/>
    <w:rsid w:val="001A6774"/>
    <w:rsid w:val="001A697C"/>
    <w:rsid w:val="001A71A6"/>
    <w:rsid w:val="001B0148"/>
    <w:rsid w:val="001B04D6"/>
    <w:rsid w:val="001B5E0D"/>
    <w:rsid w:val="001B6222"/>
    <w:rsid w:val="001C19F2"/>
    <w:rsid w:val="001C4E66"/>
    <w:rsid w:val="001C5DC7"/>
    <w:rsid w:val="001C7655"/>
    <w:rsid w:val="001D04E5"/>
    <w:rsid w:val="001D1A22"/>
    <w:rsid w:val="001D1F57"/>
    <w:rsid w:val="001D24FE"/>
    <w:rsid w:val="001D32E4"/>
    <w:rsid w:val="001D3329"/>
    <w:rsid w:val="001D3B61"/>
    <w:rsid w:val="001D527A"/>
    <w:rsid w:val="001E0CFB"/>
    <w:rsid w:val="001E31C4"/>
    <w:rsid w:val="001E3E6B"/>
    <w:rsid w:val="001E6114"/>
    <w:rsid w:val="001E61C3"/>
    <w:rsid w:val="001E7304"/>
    <w:rsid w:val="001E743E"/>
    <w:rsid w:val="001E74E9"/>
    <w:rsid w:val="001E7655"/>
    <w:rsid w:val="001E7C6E"/>
    <w:rsid w:val="001F089C"/>
    <w:rsid w:val="001F39A5"/>
    <w:rsid w:val="001F656E"/>
    <w:rsid w:val="0020002B"/>
    <w:rsid w:val="002012C0"/>
    <w:rsid w:val="002017E7"/>
    <w:rsid w:val="00201978"/>
    <w:rsid w:val="00204656"/>
    <w:rsid w:val="00205710"/>
    <w:rsid w:val="00205E45"/>
    <w:rsid w:val="0020677C"/>
    <w:rsid w:val="002070B3"/>
    <w:rsid w:val="00212B3C"/>
    <w:rsid w:val="00213E7E"/>
    <w:rsid w:val="00214389"/>
    <w:rsid w:val="00214B87"/>
    <w:rsid w:val="00220D5D"/>
    <w:rsid w:val="00221321"/>
    <w:rsid w:val="002213B1"/>
    <w:rsid w:val="002217B2"/>
    <w:rsid w:val="00221823"/>
    <w:rsid w:val="002233FF"/>
    <w:rsid w:val="0022431F"/>
    <w:rsid w:val="00227B01"/>
    <w:rsid w:val="00230698"/>
    <w:rsid w:val="00230D87"/>
    <w:rsid w:val="00234BFF"/>
    <w:rsid w:val="00234F4E"/>
    <w:rsid w:val="00234F62"/>
    <w:rsid w:val="002350AF"/>
    <w:rsid w:val="002374F3"/>
    <w:rsid w:val="002431DA"/>
    <w:rsid w:val="0024425F"/>
    <w:rsid w:val="00245012"/>
    <w:rsid w:val="00245600"/>
    <w:rsid w:val="002461C7"/>
    <w:rsid w:val="002464F2"/>
    <w:rsid w:val="00247434"/>
    <w:rsid w:val="00247C75"/>
    <w:rsid w:val="00250D8A"/>
    <w:rsid w:val="0025282E"/>
    <w:rsid w:val="002542EA"/>
    <w:rsid w:val="00256C9C"/>
    <w:rsid w:val="00257D1F"/>
    <w:rsid w:val="00257D23"/>
    <w:rsid w:val="0026152F"/>
    <w:rsid w:val="00263CE8"/>
    <w:rsid w:val="00263DCE"/>
    <w:rsid w:val="00264A73"/>
    <w:rsid w:val="00264F0A"/>
    <w:rsid w:val="0026593E"/>
    <w:rsid w:val="00265F8B"/>
    <w:rsid w:val="00270A3E"/>
    <w:rsid w:val="00271C30"/>
    <w:rsid w:val="00273296"/>
    <w:rsid w:val="00275662"/>
    <w:rsid w:val="0027744B"/>
    <w:rsid w:val="002774C7"/>
    <w:rsid w:val="00283496"/>
    <w:rsid w:val="00286273"/>
    <w:rsid w:val="002866D6"/>
    <w:rsid w:val="00286A98"/>
    <w:rsid w:val="00287025"/>
    <w:rsid w:val="0029006B"/>
    <w:rsid w:val="00292D10"/>
    <w:rsid w:val="002931DA"/>
    <w:rsid w:val="00294225"/>
    <w:rsid w:val="0029591E"/>
    <w:rsid w:val="002979BC"/>
    <w:rsid w:val="002A0E98"/>
    <w:rsid w:val="002A15E2"/>
    <w:rsid w:val="002A2897"/>
    <w:rsid w:val="002A4995"/>
    <w:rsid w:val="002A58F6"/>
    <w:rsid w:val="002A6082"/>
    <w:rsid w:val="002A61C6"/>
    <w:rsid w:val="002A6211"/>
    <w:rsid w:val="002A650C"/>
    <w:rsid w:val="002A6703"/>
    <w:rsid w:val="002A753C"/>
    <w:rsid w:val="002B14FB"/>
    <w:rsid w:val="002B1674"/>
    <w:rsid w:val="002B42A8"/>
    <w:rsid w:val="002B52CE"/>
    <w:rsid w:val="002B53A0"/>
    <w:rsid w:val="002B6058"/>
    <w:rsid w:val="002C1E35"/>
    <w:rsid w:val="002C212C"/>
    <w:rsid w:val="002C2CCC"/>
    <w:rsid w:val="002C3399"/>
    <w:rsid w:val="002C51E1"/>
    <w:rsid w:val="002C5B21"/>
    <w:rsid w:val="002C712A"/>
    <w:rsid w:val="002C7E65"/>
    <w:rsid w:val="002D2F39"/>
    <w:rsid w:val="002D4C3D"/>
    <w:rsid w:val="002D586F"/>
    <w:rsid w:val="002D64F8"/>
    <w:rsid w:val="002D67EC"/>
    <w:rsid w:val="002E0923"/>
    <w:rsid w:val="002E31B1"/>
    <w:rsid w:val="002E349D"/>
    <w:rsid w:val="002E3FD2"/>
    <w:rsid w:val="002E4472"/>
    <w:rsid w:val="002F0964"/>
    <w:rsid w:val="002F16A1"/>
    <w:rsid w:val="002F7164"/>
    <w:rsid w:val="00300280"/>
    <w:rsid w:val="003009DB"/>
    <w:rsid w:val="003021E4"/>
    <w:rsid w:val="00302C45"/>
    <w:rsid w:val="003031C1"/>
    <w:rsid w:val="00303242"/>
    <w:rsid w:val="0030639B"/>
    <w:rsid w:val="00306556"/>
    <w:rsid w:val="003078D3"/>
    <w:rsid w:val="0031505C"/>
    <w:rsid w:val="003157B5"/>
    <w:rsid w:val="00316A24"/>
    <w:rsid w:val="00316CC1"/>
    <w:rsid w:val="003216D3"/>
    <w:rsid w:val="00322953"/>
    <w:rsid w:val="00323B67"/>
    <w:rsid w:val="00323E93"/>
    <w:rsid w:val="00325927"/>
    <w:rsid w:val="00325CD8"/>
    <w:rsid w:val="00325DFD"/>
    <w:rsid w:val="00327B58"/>
    <w:rsid w:val="00330ECE"/>
    <w:rsid w:val="0033491F"/>
    <w:rsid w:val="00335764"/>
    <w:rsid w:val="003357BC"/>
    <w:rsid w:val="00335C7D"/>
    <w:rsid w:val="0033637E"/>
    <w:rsid w:val="00336D1B"/>
    <w:rsid w:val="00337EB0"/>
    <w:rsid w:val="003404B4"/>
    <w:rsid w:val="00341D03"/>
    <w:rsid w:val="00343508"/>
    <w:rsid w:val="00344BE9"/>
    <w:rsid w:val="003459BD"/>
    <w:rsid w:val="00346FE0"/>
    <w:rsid w:val="00350979"/>
    <w:rsid w:val="00351364"/>
    <w:rsid w:val="00355244"/>
    <w:rsid w:val="00356724"/>
    <w:rsid w:val="00357018"/>
    <w:rsid w:val="00357D98"/>
    <w:rsid w:val="00360079"/>
    <w:rsid w:val="00361107"/>
    <w:rsid w:val="00361F46"/>
    <w:rsid w:val="00365934"/>
    <w:rsid w:val="00365B00"/>
    <w:rsid w:val="0036797C"/>
    <w:rsid w:val="0037061A"/>
    <w:rsid w:val="00371365"/>
    <w:rsid w:val="00374052"/>
    <w:rsid w:val="00375800"/>
    <w:rsid w:val="00375847"/>
    <w:rsid w:val="00375F06"/>
    <w:rsid w:val="003806CA"/>
    <w:rsid w:val="00380A51"/>
    <w:rsid w:val="003810D8"/>
    <w:rsid w:val="00382490"/>
    <w:rsid w:val="00382660"/>
    <w:rsid w:val="00382FF7"/>
    <w:rsid w:val="003831D9"/>
    <w:rsid w:val="00384F44"/>
    <w:rsid w:val="00390F5F"/>
    <w:rsid w:val="003973B5"/>
    <w:rsid w:val="00397D3A"/>
    <w:rsid w:val="003A1994"/>
    <w:rsid w:val="003A1B3E"/>
    <w:rsid w:val="003A2BAA"/>
    <w:rsid w:val="003A2EEB"/>
    <w:rsid w:val="003A3590"/>
    <w:rsid w:val="003A612C"/>
    <w:rsid w:val="003A6480"/>
    <w:rsid w:val="003A7440"/>
    <w:rsid w:val="003B0781"/>
    <w:rsid w:val="003B0B3B"/>
    <w:rsid w:val="003B23A9"/>
    <w:rsid w:val="003B2B4D"/>
    <w:rsid w:val="003B2CBE"/>
    <w:rsid w:val="003B3372"/>
    <w:rsid w:val="003B3BC5"/>
    <w:rsid w:val="003B41CE"/>
    <w:rsid w:val="003B41F3"/>
    <w:rsid w:val="003B44E6"/>
    <w:rsid w:val="003B482F"/>
    <w:rsid w:val="003B50B2"/>
    <w:rsid w:val="003B6572"/>
    <w:rsid w:val="003C02E7"/>
    <w:rsid w:val="003C2D92"/>
    <w:rsid w:val="003C2D99"/>
    <w:rsid w:val="003C5A22"/>
    <w:rsid w:val="003C7AEA"/>
    <w:rsid w:val="003D0FF4"/>
    <w:rsid w:val="003D13EF"/>
    <w:rsid w:val="003D280D"/>
    <w:rsid w:val="003D319E"/>
    <w:rsid w:val="003D33EB"/>
    <w:rsid w:val="003D4576"/>
    <w:rsid w:val="003D5634"/>
    <w:rsid w:val="003D64DD"/>
    <w:rsid w:val="003D660F"/>
    <w:rsid w:val="003D6D01"/>
    <w:rsid w:val="003D7CC3"/>
    <w:rsid w:val="003D7F53"/>
    <w:rsid w:val="003D7FB8"/>
    <w:rsid w:val="003E1864"/>
    <w:rsid w:val="003F0091"/>
    <w:rsid w:val="003F2E7B"/>
    <w:rsid w:val="003F32F2"/>
    <w:rsid w:val="003F34E7"/>
    <w:rsid w:val="003F3F9D"/>
    <w:rsid w:val="003F4088"/>
    <w:rsid w:val="003F52F8"/>
    <w:rsid w:val="003F5E88"/>
    <w:rsid w:val="003F6D27"/>
    <w:rsid w:val="00401C93"/>
    <w:rsid w:val="00404AD1"/>
    <w:rsid w:val="00404DE3"/>
    <w:rsid w:val="00405561"/>
    <w:rsid w:val="00406676"/>
    <w:rsid w:val="004066E9"/>
    <w:rsid w:val="004124A6"/>
    <w:rsid w:val="00412597"/>
    <w:rsid w:val="00415894"/>
    <w:rsid w:val="00415912"/>
    <w:rsid w:val="0042009C"/>
    <w:rsid w:val="00420C24"/>
    <w:rsid w:val="004216FF"/>
    <w:rsid w:val="00421895"/>
    <w:rsid w:val="00422B57"/>
    <w:rsid w:val="00422CF1"/>
    <w:rsid w:val="00422DB4"/>
    <w:rsid w:val="00425841"/>
    <w:rsid w:val="00425B2F"/>
    <w:rsid w:val="00426ED7"/>
    <w:rsid w:val="00427BA2"/>
    <w:rsid w:val="004300CD"/>
    <w:rsid w:val="00430D7E"/>
    <w:rsid w:val="004328C6"/>
    <w:rsid w:val="00432CA1"/>
    <w:rsid w:val="00433986"/>
    <w:rsid w:val="0043419E"/>
    <w:rsid w:val="004343F6"/>
    <w:rsid w:val="00434484"/>
    <w:rsid w:val="004348E8"/>
    <w:rsid w:val="00435801"/>
    <w:rsid w:val="00437015"/>
    <w:rsid w:val="00437296"/>
    <w:rsid w:val="00437994"/>
    <w:rsid w:val="00442AF3"/>
    <w:rsid w:val="00446133"/>
    <w:rsid w:val="004500AE"/>
    <w:rsid w:val="004511E8"/>
    <w:rsid w:val="00454611"/>
    <w:rsid w:val="00454E5A"/>
    <w:rsid w:val="00457639"/>
    <w:rsid w:val="0045778E"/>
    <w:rsid w:val="00457F06"/>
    <w:rsid w:val="00460EA6"/>
    <w:rsid w:val="004613F5"/>
    <w:rsid w:val="004614DB"/>
    <w:rsid w:val="00461A5E"/>
    <w:rsid w:val="00462031"/>
    <w:rsid w:val="00462441"/>
    <w:rsid w:val="004626DE"/>
    <w:rsid w:val="004628C4"/>
    <w:rsid w:val="004638DC"/>
    <w:rsid w:val="00464A3D"/>
    <w:rsid w:val="00465F20"/>
    <w:rsid w:val="004662F8"/>
    <w:rsid w:val="00466539"/>
    <w:rsid w:val="00466B60"/>
    <w:rsid w:val="004813CF"/>
    <w:rsid w:val="00482303"/>
    <w:rsid w:val="00484FD3"/>
    <w:rsid w:val="00485E75"/>
    <w:rsid w:val="00486261"/>
    <w:rsid w:val="0048712B"/>
    <w:rsid w:val="00487F05"/>
    <w:rsid w:val="0049139B"/>
    <w:rsid w:val="00496EDD"/>
    <w:rsid w:val="00497A06"/>
    <w:rsid w:val="00497FBF"/>
    <w:rsid w:val="004A0295"/>
    <w:rsid w:val="004A0336"/>
    <w:rsid w:val="004A0433"/>
    <w:rsid w:val="004A160B"/>
    <w:rsid w:val="004A22C5"/>
    <w:rsid w:val="004A252A"/>
    <w:rsid w:val="004A2F84"/>
    <w:rsid w:val="004A6AEF"/>
    <w:rsid w:val="004A7A6A"/>
    <w:rsid w:val="004B2291"/>
    <w:rsid w:val="004B246B"/>
    <w:rsid w:val="004B2707"/>
    <w:rsid w:val="004B44EC"/>
    <w:rsid w:val="004B47BB"/>
    <w:rsid w:val="004B5FB3"/>
    <w:rsid w:val="004B7710"/>
    <w:rsid w:val="004C0B6C"/>
    <w:rsid w:val="004C0EFD"/>
    <w:rsid w:val="004C26C6"/>
    <w:rsid w:val="004C27E9"/>
    <w:rsid w:val="004C3042"/>
    <w:rsid w:val="004C5A66"/>
    <w:rsid w:val="004C5A87"/>
    <w:rsid w:val="004C6DD1"/>
    <w:rsid w:val="004D02E6"/>
    <w:rsid w:val="004D08AD"/>
    <w:rsid w:val="004D18A5"/>
    <w:rsid w:val="004D2EBC"/>
    <w:rsid w:val="004D3412"/>
    <w:rsid w:val="004D4273"/>
    <w:rsid w:val="004D583E"/>
    <w:rsid w:val="004D6184"/>
    <w:rsid w:val="004D6A43"/>
    <w:rsid w:val="004E0956"/>
    <w:rsid w:val="004E0E56"/>
    <w:rsid w:val="004E1F20"/>
    <w:rsid w:val="004E359B"/>
    <w:rsid w:val="004E56F4"/>
    <w:rsid w:val="004E5F33"/>
    <w:rsid w:val="004E79B1"/>
    <w:rsid w:val="004F41B9"/>
    <w:rsid w:val="004F4F9F"/>
    <w:rsid w:val="004F5245"/>
    <w:rsid w:val="004F7B27"/>
    <w:rsid w:val="004F7E95"/>
    <w:rsid w:val="00502CE6"/>
    <w:rsid w:val="00505B22"/>
    <w:rsid w:val="00505E30"/>
    <w:rsid w:val="00507372"/>
    <w:rsid w:val="00513A22"/>
    <w:rsid w:val="005143C8"/>
    <w:rsid w:val="005149A9"/>
    <w:rsid w:val="00515E51"/>
    <w:rsid w:val="0051763B"/>
    <w:rsid w:val="00517AA1"/>
    <w:rsid w:val="005262F9"/>
    <w:rsid w:val="005304A8"/>
    <w:rsid w:val="00530E4F"/>
    <w:rsid w:val="005313B1"/>
    <w:rsid w:val="005315BF"/>
    <w:rsid w:val="00531CCD"/>
    <w:rsid w:val="00534B64"/>
    <w:rsid w:val="0053529B"/>
    <w:rsid w:val="005369B9"/>
    <w:rsid w:val="005409DB"/>
    <w:rsid w:val="00541C74"/>
    <w:rsid w:val="005432C4"/>
    <w:rsid w:val="00543409"/>
    <w:rsid w:val="00544EC3"/>
    <w:rsid w:val="0054604C"/>
    <w:rsid w:val="00547FC6"/>
    <w:rsid w:val="00551C96"/>
    <w:rsid w:val="0055300B"/>
    <w:rsid w:val="00557038"/>
    <w:rsid w:val="00561717"/>
    <w:rsid w:val="00561E5B"/>
    <w:rsid w:val="00563FF3"/>
    <w:rsid w:val="00564ABE"/>
    <w:rsid w:val="0056507C"/>
    <w:rsid w:val="00565941"/>
    <w:rsid w:val="00571BA3"/>
    <w:rsid w:val="00572E9A"/>
    <w:rsid w:val="00577079"/>
    <w:rsid w:val="005772EF"/>
    <w:rsid w:val="00580532"/>
    <w:rsid w:val="00582413"/>
    <w:rsid w:val="00582721"/>
    <w:rsid w:val="00584936"/>
    <w:rsid w:val="00584A4D"/>
    <w:rsid w:val="00584B78"/>
    <w:rsid w:val="005851AE"/>
    <w:rsid w:val="00585D0F"/>
    <w:rsid w:val="00585D50"/>
    <w:rsid w:val="005908F1"/>
    <w:rsid w:val="00590A38"/>
    <w:rsid w:val="00591926"/>
    <w:rsid w:val="00591B6E"/>
    <w:rsid w:val="005A0079"/>
    <w:rsid w:val="005A2CB4"/>
    <w:rsid w:val="005A6A6B"/>
    <w:rsid w:val="005A7364"/>
    <w:rsid w:val="005B0107"/>
    <w:rsid w:val="005B1D97"/>
    <w:rsid w:val="005B2297"/>
    <w:rsid w:val="005B3371"/>
    <w:rsid w:val="005B52A4"/>
    <w:rsid w:val="005B55CB"/>
    <w:rsid w:val="005B71A0"/>
    <w:rsid w:val="005C05DE"/>
    <w:rsid w:val="005C26AA"/>
    <w:rsid w:val="005C2B93"/>
    <w:rsid w:val="005C3D8E"/>
    <w:rsid w:val="005C3F87"/>
    <w:rsid w:val="005C4A11"/>
    <w:rsid w:val="005D00CD"/>
    <w:rsid w:val="005D06CE"/>
    <w:rsid w:val="005D151C"/>
    <w:rsid w:val="005D21CE"/>
    <w:rsid w:val="005D232E"/>
    <w:rsid w:val="005D30C3"/>
    <w:rsid w:val="005D35FB"/>
    <w:rsid w:val="005D3A54"/>
    <w:rsid w:val="005D4B1E"/>
    <w:rsid w:val="005D52BE"/>
    <w:rsid w:val="005D5F7A"/>
    <w:rsid w:val="005E0571"/>
    <w:rsid w:val="005E0BEC"/>
    <w:rsid w:val="005E0C84"/>
    <w:rsid w:val="005E1E99"/>
    <w:rsid w:val="005E5023"/>
    <w:rsid w:val="005E5375"/>
    <w:rsid w:val="005E5CA9"/>
    <w:rsid w:val="005E5F60"/>
    <w:rsid w:val="005E7825"/>
    <w:rsid w:val="005F0C65"/>
    <w:rsid w:val="005F15AD"/>
    <w:rsid w:val="005F3362"/>
    <w:rsid w:val="005F6FDA"/>
    <w:rsid w:val="005F7D8F"/>
    <w:rsid w:val="00601124"/>
    <w:rsid w:val="00601459"/>
    <w:rsid w:val="00601F9F"/>
    <w:rsid w:val="00602517"/>
    <w:rsid w:val="00603029"/>
    <w:rsid w:val="00603774"/>
    <w:rsid w:val="00605691"/>
    <w:rsid w:val="006068AD"/>
    <w:rsid w:val="00606EA3"/>
    <w:rsid w:val="00612A2C"/>
    <w:rsid w:val="00613F10"/>
    <w:rsid w:val="0061449E"/>
    <w:rsid w:val="00614D6E"/>
    <w:rsid w:val="00617D22"/>
    <w:rsid w:val="00620119"/>
    <w:rsid w:val="0062097C"/>
    <w:rsid w:val="00620F42"/>
    <w:rsid w:val="0062368A"/>
    <w:rsid w:val="00623A3A"/>
    <w:rsid w:val="0062405B"/>
    <w:rsid w:val="0062451A"/>
    <w:rsid w:val="00624BB9"/>
    <w:rsid w:val="0062546E"/>
    <w:rsid w:val="006255B1"/>
    <w:rsid w:val="00626B5C"/>
    <w:rsid w:val="00631156"/>
    <w:rsid w:val="00636B62"/>
    <w:rsid w:val="00637054"/>
    <w:rsid w:val="006375D7"/>
    <w:rsid w:val="0063762E"/>
    <w:rsid w:val="00643998"/>
    <w:rsid w:val="00644333"/>
    <w:rsid w:val="006453AE"/>
    <w:rsid w:val="006456A9"/>
    <w:rsid w:val="00645821"/>
    <w:rsid w:val="00650A2E"/>
    <w:rsid w:val="00651CB3"/>
    <w:rsid w:val="00651E99"/>
    <w:rsid w:val="00653FC4"/>
    <w:rsid w:val="00656ADB"/>
    <w:rsid w:val="00660141"/>
    <w:rsid w:val="00660D4E"/>
    <w:rsid w:val="006614BD"/>
    <w:rsid w:val="00663BAD"/>
    <w:rsid w:val="00665377"/>
    <w:rsid w:val="00665C29"/>
    <w:rsid w:val="00670527"/>
    <w:rsid w:val="006711D8"/>
    <w:rsid w:val="006711E1"/>
    <w:rsid w:val="00672357"/>
    <w:rsid w:val="00672452"/>
    <w:rsid w:val="006735C2"/>
    <w:rsid w:val="00674F52"/>
    <w:rsid w:val="006767CD"/>
    <w:rsid w:val="00677C7E"/>
    <w:rsid w:val="006812DD"/>
    <w:rsid w:val="0068587F"/>
    <w:rsid w:val="006862D3"/>
    <w:rsid w:val="00687055"/>
    <w:rsid w:val="00687299"/>
    <w:rsid w:val="0068743E"/>
    <w:rsid w:val="00690B58"/>
    <w:rsid w:val="00692A16"/>
    <w:rsid w:val="00693A42"/>
    <w:rsid w:val="00693E06"/>
    <w:rsid w:val="006957EC"/>
    <w:rsid w:val="006968B7"/>
    <w:rsid w:val="006A7CE1"/>
    <w:rsid w:val="006B0C31"/>
    <w:rsid w:val="006B177E"/>
    <w:rsid w:val="006B1BAC"/>
    <w:rsid w:val="006B34F2"/>
    <w:rsid w:val="006B39B7"/>
    <w:rsid w:val="006B3C9F"/>
    <w:rsid w:val="006B3E8C"/>
    <w:rsid w:val="006B5241"/>
    <w:rsid w:val="006B5B34"/>
    <w:rsid w:val="006B70AD"/>
    <w:rsid w:val="006B7991"/>
    <w:rsid w:val="006C1398"/>
    <w:rsid w:val="006C14E7"/>
    <w:rsid w:val="006C1A52"/>
    <w:rsid w:val="006C2E94"/>
    <w:rsid w:val="006C31C6"/>
    <w:rsid w:val="006C354F"/>
    <w:rsid w:val="006D05A4"/>
    <w:rsid w:val="006D0E81"/>
    <w:rsid w:val="006D211A"/>
    <w:rsid w:val="006D24D1"/>
    <w:rsid w:val="006D340D"/>
    <w:rsid w:val="006D5B5B"/>
    <w:rsid w:val="006D6794"/>
    <w:rsid w:val="006D6F65"/>
    <w:rsid w:val="006E00E4"/>
    <w:rsid w:val="006E1370"/>
    <w:rsid w:val="006E2743"/>
    <w:rsid w:val="006E4A6F"/>
    <w:rsid w:val="006E4E4B"/>
    <w:rsid w:val="006E734A"/>
    <w:rsid w:val="006E7729"/>
    <w:rsid w:val="006F4145"/>
    <w:rsid w:val="006F5229"/>
    <w:rsid w:val="006F52EF"/>
    <w:rsid w:val="00700360"/>
    <w:rsid w:val="00700C23"/>
    <w:rsid w:val="007034D0"/>
    <w:rsid w:val="0070412A"/>
    <w:rsid w:val="007071CC"/>
    <w:rsid w:val="00707AAB"/>
    <w:rsid w:val="00707ED7"/>
    <w:rsid w:val="0071045F"/>
    <w:rsid w:val="00711423"/>
    <w:rsid w:val="00711DEC"/>
    <w:rsid w:val="00712402"/>
    <w:rsid w:val="00713E8B"/>
    <w:rsid w:val="00715043"/>
    <w:rsid w:val="007165EF"/>
    <w:rsid w:val="00717076"/>
    <w:rsid w:val="007171E6"/>
    <w:rsid w:val="00717416"/>
    <w:rsid w:val="00717F69"/>
    <w:rsid w:val="00720398"/>
    <w:rsid w:val="007209C6"/>
    <w:rsid w:val="00720C0A"/>
    <w:rsid w:val="00721228"/>
    <w:rsid w:val="00730B1B"/>
    <w:rsid w:val="007310D4"/>
    <w:rsid w:val="0073161D"/>
    <w:rsid w:val="007327F8"/>
    <w:rsid w:val="00734EC2"/>
    <w:rsid w:val="00735A94"/>
    <w:rsid w:val="00736F21"/>
    <w:rsid w:val="00742D67"/>
    <w:rsid w:val="00743E11"/>
    <w:rsid w:val="00746A3D"/>
    <w:rsid w:val="00746B35"/>
    <w:rsid w:val="00747EA9"/>
    <w:rsid w:val="00750051"/>
    <w:rsid w:val="0075039E"/>
    <w:rsid w:val="00754F5D"/>
    <w:rsid w:val="00756633"/>
    <w:rsid w:val="007572CA"/>
    <w:rsid w:val="0075783B"/>
    <w:rsid w:val="00763938"/>
    <w:rsid w:val="0076468D"/>
    <w:rsid w:val="00767F73"/>
    <w:rsid w:val="00771BA2"/>
    <w:rsid w:val="0077278C"/>
    <w:rsid w:val="00773949"/>
    <w:rsid w:val="00773CAA"/>
    <w:rsid w:val="00774183"/>
    <w:rsid w:val="007745E0"/>
    <w:rsid w:val="00781253"/>
    <w:rsid w:val="0078300D"/>
    <w:rsid w:val="0078301B"/>
    <w:rsid w:val="00787DC9"/>
    <w:rsid w:val="00790464"/>
    <w:rsid w:val="0079221C"/>
    <w:rsid w:val="00793356"/>
    <w:rsid w:val="0079478A"/>
    <w:rsid w:val="00795865"/>
    <w:rsid w:val="007969EB"/>
    <w:rsid w:val="00796A6B"/>
    <w:rsid w:val="00796EE6"/>
    <w:rsid w:val="00797033"/>
    <w:rsid w:val="007A0D57"/>
    <w:rsid w:val="007A14EB"/>
    <w:rsid w:val="007A22A4"/>
    <w:rsid w:val="007A3826"/>
    <w:rsid w:val="007A41F7"/>
    <w:rsid w:val="007A4C7D"/>
    <w:rsid w:val="007A541C"/>
    <w:rsid w:val="007A7C69"/>
    <w:rsid w:val="007B2A2B"/>
    <w:rsid w:val="007B2E11"/>
    <w:rsid w:val="007B3BBF"/>
    <w:rsid w:val="007B40FB"/>
    <w:rsid w:val="007B7197"/>
    <w:rsid w:val="007B77E2"/>
    <w:rsid w:val="007C11B1"/>
    <w:rsid w:val="007C2AE9"/>
    <w:rsid w:val="007C2C41"/>
    <w:rsid w:val="007C32AC"/>
    <w:rsid w:val="007C3AD2"/>
    <w:rsid w:val="007C7A30"/>
    <w:rsid w:val="007D084B"/>
    <w:rsid w:val="007D0D42"/>
    <w:rsid w:val="007D141A"/>
    <w:rsid w:val="007D1D6A"/>
    <w:rsid w:val="007D2B7A"/>
    <w:rsid w:val="007D31C2"/>
    <w:rsid w:val="007D6FAF"/>
    <w:rsid w:val="007D7CBB"/>
    <w:rsid w:val="007E0F34"/>
    <w:rsid w:val="007E4DAA"/>
    <w:rsid w:val="007E4F77"/>
    <w:rsid w:val="007E7CB0"/>
    <w:rsid w:val="007F077C"/>
    <w:rsid w:val="007F08B3"/>
    <w:rsid w:val="007F0F77"/>
    <w:rsid w:val="007F25A2"/>
    <w:rsid w:val="007F31C1"/>
    <w:rsid w:val="007F3C5A"/>
    <w:rsid w:val="007F4F83"/>
    <w:rsid w:val="007F56E2"/>
    <w:rsid w:val="008050AF"/>
    <w:rsid w:val="008063BE"/>
    <w:rsid w:val="0080722C"/>
    <w:rsid w:val="008075FF"/>
    <w:rsid w:val="00811C16"/>
    <w:rsid w:val="00813CF4"/>
    <w:rsid w:val="0081553A"/>
    <w:rsid w:val="0081678F"/>
    <w:rsid w:val="008175AF"/>
    <w:rsid w:val="00821F9D"/>
    <w:rsid w:val="00822C70"/>
    <w:rsid w:val="0082372B"/>
    <w:rsid w:val="00823D34"/>
    <w:rsid w:val="00824FEA"/>
    <w:rsid w:val="00825A10"/>
    <w:rsid w:val="00833250"/>
    <w:rsid w:val="00835977"/>
    <w:rsid w:val="00835F88"/>
    <w:rsid w:val="008360A4"/>
    <w:rsid w:val="00836725"/>
    <w:rsid w:val="008367BB"/>
    <w:rsid w:val="008401DA"/>
    <w:rsid w:val="00840DE6"/>
    <w:rsid w:val="0084118F"/>
    <w:rsid w:val="008412C2"/>
    <w:rsid w:val="0084191D"/>
    <w:rsid w:val="0084337A"/>
    <w:rsid w:val="00844628"/>
    <w:rsid w:val="00844FE7"/>
    <w:rsid w:val="00846AD7"/>
    <w:rsid w:val="00847768"/>
    <w:rsid w:val="00850F29"/>
    <w:rsid w:val="00853FF3"/>
    <w:rsid w:val="00855330"/>
    <w:rsid w:val="00855B55"/>
    <w:rsid w:val="00855D19"/>
    <w:rsid w:val="00857197"/>
    <w:rsid w:val="00857C2A"/>
    <w:rsid w:val="0086409D"/>
    <w:rsid w:val="00864110"/>
    <w:rsid w:val="0086650F"/>
    <w:rsid w:val="00866CED"/>
    <w:rsid w:val="008769D7"/>
    <w:rsid w:val="00881152"/>
    <w:rsid w:val="00881F8C"/>
    <w:rsid w:val="00881FC5"/>
    <w:rsid w:val="0088244F"/>
    <w:rsid w:val="00882867"/>
    <w:rsid w:val="00885484"/>
    <w:rsid w:val="0088581B"/>
    <w:rsid w:val="00887A83"/>
    <w:rsid w:val="00890E68"/>
    <w:rsid w:val="00891D68"/>
    <w:rsid w:val="00891E8C"/>
    <w:rsid w:val="008929DF"/>
    <w:rsid w:val="00893A22"/>
    <w:rsid w:val="008951B0"/>
    <w:rsid w:val="00895455"/>
    <w:rsid w:val="008960AA"/>
    <w:rsid w:val="00896663"/>
    <w:rsid w:val="0089702E"/>
    <w:rsid w:val="0089729B"/>
    <w:rsid w:val="008972D5"/>
    <w:rsid w:val="00897563"/>
    <w:rsid w:val="008976C9"/>
    <w:rsid w:val="00897BD4"/>
    <w:rsid w:val="008A0C1F"/>
    <w:rsid w:val="008A14BF"/>
    <w:rsid w:val="008A25C3"/>
    <w:rsid w:val="008A2748"/>
    <w:rsid w:val="008A31B0"/>
    <w:rsid w:val="008A4AA6"/>
    <w:rsid w:val="008A4C3E"/>
    <w:rsid w:val="008A4C55"/>
    <w:rsid w:val="008A55B8"/>
    <w:rsid w:val="008A6838"/>
    <w:rsid w:val="008A6D68"/>
    <w:rsid w:val="008A7BAA"/>
    <w:rsid w:val="008A7DDC"/>
    <w:rsid w:val="008B3793"/>
    <w:rsid w:val="008B4967"/>
    <w:rsid w:val="008B52DE"/>
    <w:rsid w:val="008B55E9"/>
    <w:rsid w:val="008B6E4D"/>
    <w:rsid w:val="008B7279"/>
    <w:rsid w:val="008C10C7"/>
    <w:rsid w:val="008C30AE"/>
    <w:rsid w:val="008C4554"/>
    <w:rsid w:val="008C534B"/>
    <w:rsid w:val="008C5866"/>
    <w:rsid w:val="008D713A"/>
    <w:rsid w:val="008D7FC0"/>
    <w:rsid w:val="008E036D"/>
    <w:rsid w:val="008E0DB9"/>
    <w:rsid w:val="008E1D2F"/>
    <w:rsid w:val="008E2131"/>
    <w:rsid w:val="008E33D4"/>
    <w:rsid w:val="008E6B59"/>
    <w:rsid w:val="008E72F8"/>
    <w:rsid w:val="008F697E"/>
    <w:rsid w:val="008F6F18"/>
    <w:rsid w:val="008F74E8"/>
    <w:rsid w:val="008F7901"/>
    <w:rsid w:val="00900598"/>
    <w:rsid w:val="00900D9E"/>
    <w:rsid w:val="00902464"/>
    <w:rsid w:val="009036E7"/>
    <w:rsid w:val="00903837"/>
    <w:rsid w:val="00904014"/>
    <w:rsid w:val="009061FB"/>
    <w:rsid w:val="00907F80"/>
    <w:rsid w:val="00910213"/>
    <w:rsid w:val="00913AB7"/>
    <w:rsid w:val="00914399"/>
    <w:rsid w:val="0091558E"/>
    <w:rsid w:val="009167A8"/>
    <w:rsid w:val="00920CEC"/>
    <w:rsid w:val="00922772"/>
    <w:rsid w:val="00922E20"/>
    <w:rsid w:val="0092624C"/>
    <w:rsid w:val="009268A3"/>
    <w:rsid w:val="00926EC1"/>
    <w:rsid w:val="00931778"/>
    <w:rsid w:val="00931B73"/>
    <w:rsid w:val="0093355B"/>
    <w:rsid w:val="0093373F"/>
    <w:rsid w:val="00934471"/>
    <w:rsid w:val="0093594D"/>
    <w:rsid w:val="00936EA2"/>
    <w:rsid w:val="009406E5"/>
    <w:rsid w:val="00941E75"/>
    <w:rsid w:val="00943C33"/>
    <w:rsid w:val="009444AD"/>
    <w:rsid w:val="009445AB"/>
    <w:rsid w:val="0094649C"/>
    <w:rsid w:val="009479CE"/>
    <w:rsid w:val="00947E67"/>
    <w:rsid w:val="00950CB2"/>
    <w:rsid w:val="00951919"/>
    <w:rsid w:val="009546C3"/>
    <w:rsid w:val="00954F44"/>
    <w:rsid w:val="0095526D"/>
    <w:rsid w:val="00955C4B"/>
    <w:rsid w:val="00955CF2"/>
    <w:rsid w:val="0095664C"/>
    <w:rsid w:val="00956739"/>
    <w:rsid w:val="00957F0E"/>
    <w:rsid w:val="00957FED"/>
    <w:rsid w:val="0096252C"/>
    <w:rsid w:val="00965B2F"/>
    <w:rsid w:val="00966FF9"/>
    <w:rsid w:val="0096778F"/>
    <w:rsid w:val="00967A5E"/>
    <w:rsid w:val="00970F08"/>
    <w:rsid w:val="00973355"/>
    <w:rsid w:val="0097417F"/>
    <w:rsid w:val="009754F5"/>
    <w:rsid w:val="0097579C"/>
    <w:rsid w:val="00975C3B"/>
    <w:rsid w:val="009760F2"/>
    <w:rsid w:val="00976374"/>
    <w:rsid w:val="0097775C"/>
    <w:rsid w:val="00980A0A"/>
    <w:rsid w:val="009818CD"/>
    <w:rsid w:val="00984B6B"/>
    <w:rsid w:val="00987B9D"/>
    <w:rsid w:val="00987BD0"/>
    <w:rsid w:val="00990013"/>
    <w:rsid w:val="009904B4"/>
    <w:rsid w:val="009915B5"/>
    <w:rsid w:val="009933A0"/>
    <w:rsid w:val="00993602"/>
    <w:rsid w:val="00993A44"/>
    <w:rsid w:val="00994869"/>
    <w:rsid w:val="009A052C"/>
    <w:rsid w:val="009A2473"/>
    <w:rsid w:val="009A385C"/>
    <w:rsid w:val="009A3A50"/>
    <w:rsid w:val="009A3C5E"/>
    <w:rsid w:val="009A47FD"/>
    <w:rsid w:val="009A57A8"/>
    <w:rsid w:val="009A5C47"/>
    <w:rsid w:val="009A7BC9"/>
    <w:rsid w:val="009B0E8C"/>
    <w:rsid w:val="009B15CB"/>
    <w:rsid w:val="009B3DEA"/>
    <w:rsid w:val="009B6067"/>
    <w:rsid w:val="009B6414"/>
    <w:rsid w:val="009B654A"/>
    <w:rsid w:val="009C073C"/>
    <w:rsid w:val="009C379B"/>
    <w:rsid w:val="009C661D"/>
    <w:rsid w:val="009C704D"/>
    <w:rsid w:val="009D0355"/>
    <w:rsid w:val="009D1DD7"/>
    <w:rsid w:val="009D1E22"/>
    <w:rsid w:val="009D5375"/>
    <w:rsid w:val="009D5DDE"/>
    <w:rsid w:val="009D5FC6"/>
    <w:rsid w:val="009D6D9A"/>
    <w:rsid w:val="009D73BD"/>
    <w:rsid w:val="009E01FE"/>
    <w:rsid w:val="009E057F"/>
    <w:rsid w:val="009E0D27"/>
    <w:rsid w:val="009E10C2"/>
    <w:rsid w:val="009E42C1"/>
    <w:rsid w:val="009E4BD1"/>
    <w:rsid w:val="009E5462"/>
    <w:rsid w:val="009F1537"/>
    <w:rsid w:val="009F1835"/>
    <w:rsid w:val="009F2494"/>
    <w:rsid w:val="009F3A53"/>
    <w:rsid w:val="009F559D"/>
    <w:rsid w:val="00A01AF1"/>
    <w:rsid w:val="00A022E7"/>
    <w:rsid w:val="00A03212"/>
    <w:rsid w:val="00A148FD"/>
    <w:rsid w:val="00A154D3"/>
    <w:rsid w:val="00A179A1"/>
    <w:rsid w:val="00A212D5"/>
    <w:rsid w:val="00A24A5D"/>
    <w:rsid w:val="00A24AF0"/>
    <w:rsid w:val="00A27627"/>
    <w:rsid w:val="00A27932"/>
    <w:rsid w:val="00A310AF"/>
    <w:rsid w:val="00A311D3"/>
    <w:rsid w:val="00A35764"/>
    <w:rsid w:val="00A3612B"/>
    <w:rsid w:val="00A3795A"/>
    <w:rsid w:val="00A37B73"/>
    <w:rsid w:val="00A41B62"/>
    <w:rsid w:val="00A46270"/>
    <w:rsid w:val="00A477AD"/>
    <w:rsid w:val="00A507FC"/>
    <w:rsid w:val="00A53422"/>
    <w:rsid w:val="00A53886"/>
    <w:rsid w:val="00A54C5F"/>
    <w:rsid w:val="00A56C0C"/>
    <w:rsid w:val="00A60536"/>
    <w:rsid w:val="00A606DB"/>
    <w:rsid w:val="00A61882"/>
    <w:rsid w:val="00A62153"/>
    <w:rsid w:val="00A64ECA"/>
    <w:rsid w:val="00A67B6B"/>
    <w:rsid w:val="00A7045E"/>
    <w:rsid w:val="00A708C7"/>
    <w:rsid w:val="00A72633"/>
    <w:rsid w:val="00A736B4"/>
    <w:rsid w:val="00A739EE"/>
    <w:rsid w:val="00A75AB1"/>
    <w:rsid w:val="00A75D97"/>
    <w:rsid w:val="00A772DF"/>
    <w:rsid w:val="00A8020F"/>
    <w:rsid w:val="00A8279E"/>
    <w:rsid w:val="00A83589"/>
    <w:rsid w:val="00A8373F"/>
    <w:rsid w:val="00A8634D"/>
    <w:rsid w:val="00A8708D"/>
    <w:rsid w:val="00A87E9F"/>
    <w:rsid w:val="00A90967"/>
    <w:rsid w:val="00A90ADB"/>
    <w:rsid w:val="00A92917"/>
    <w:rsid w:val="00A947AA"/>
    <w:rsid w:val="00A95DB5"/>
    <w:rsid w:val="00A96054"/>
    <w:rsid w:val="00A96D2E"/>
    <w:rsid w:val="00A97282"/>
    <w:rsid w:val="00A972F9"/>
    <w:rsid w:val="00AA1C66"/>
    <w:rsid w:val="00AA1F19"/>
    <w:rsid w:val="00AA3223"/>
    <w:rsid w:val="00AA48FA"/>
    <w:rsid w:val="00AA49E8"/>
    <w:rsid w:val="00AA5488"/>
    <w:rsid w:val="00AA55AA"/>
    <w:rsid w:val="00AB3EDE"/>
    <w:rsid w:val="00AB57F8"/>
    <w:rsid w:val="00AB5BD0"/>
    <w:rsid w:val="00AB6BB3"/>
    <w:rsid w:val="00AB6EB6"/>
    <w:rsid w:val="00AB72F5"/>
    <w:rsid w:val="00AC11C8"/>
    <w:rsid w:val="00AC1A08"/>
    <w:rsid w:val="00AC211B"/>
    <w:rsid w:val="00AC275A"/>
    <w:rsid w:val="00AC428C"/>
    <w:rsid w:val="00AC6920"/>
    <w:rsid w:val="00AD22FD"/>
    <w:rsid w:val="00AD2772"/>
    <w:rsid w:val="00AD4F19"/>
    <w:rsid w:val="00AD5341"/>
    <w:rsid w:val="00AD5507"/>
    <w:rsid w:val="00AD5896"/>
    <w:rsid w:val="00AD6E67"/>
    <w:rsid w:val="00AD7220"/>
    <w:rsid w:val="00AD7AF0"/>
    <w:rsid w:val="00AE0398"/>
    <w:rsid w:val="00AE1673"/>
    <w:rsid w:val="00AE68BC"/>
    <w:rsid w:val="00AE6D67"/>
    <w:rsid w:val="00AE716C"/>
    <w:rsid w:val="00AF12BB"/>
    <w:rsid w:val="00AF2124"/>
    <w:rsid w:val="00AF2422"/>
    <w:rsid w:val="00AF48EE"/>
    <w:rsid w:val="00AF4C26"/>
    <w:rsid w:val="00AF4ED5"/>
    <w:rsid w:val="00AF528B"/>
    <w:rsid w:val="00AF7835"/>
    <w:rsid w:val="00B02898"/>
    <w:rsid w:val="00B04FFA"/>
    <w:rsid w:val="00B05260"/>
    <w:rsid w:val="00B06125"/>
    <w:rsid w:val="00B06CC6"/>
    <w:rsid w:val="00B06E05"/>
    <w:rsid w:val="00B1039F"/>
    <w:rsid w:val="00B11A58"/>
    <w:rsid w:val="00B15B9F"/>
    <w:rsid w:val="00B20484"/>
    <w:rsid w:val="00B22552"/>
    <w:rsid w:val="00B23411"/>
    <w:rsid w:val="00B244B6"/>
    <w:rsid w:val="00B246D1"/>
    <w:rsid w:val="00B24A8C"/>
    <w:rsid w:val="00B3075B"/>
    <w:rsid w:val="00B31C8B"/>
    <w:rsid w:val="00B32EDB"/>
    <w:rsid w:val="00B33FDC"/>
    <w:rsid w:val="00B368D3"/>
    <w:rsid w:val="00B37042"/>
    <w:rsid w:val="00B371EB"/>
    <w:rsid w:val="00B37655"/>
    <w:rsid w:val="00B4167F"/>
    <w:rsid w:val="00B417C3"/>
    <w:rsid w:val="00B4194D"/>
    <w:rsid w:val="00B41CF1"/>
    <w:rsid w:val="00B437F3"/>
    <w:rsid w:val="00B4464F"/>
    <w:rsid w:val="00B45A12"/>
    <w:rsid w:val="00B464AE"/>
    <w:rsid w:val="00B4790E"/>
    <w:rsid w:val="00B50FB8"/>
    <w:rsid w:val="00B52B16"/>
    <w:rsid w:val="00B54A70"/>
    <w:rsid w:val="00B57821"/>
    <w:rsid w:val="00B603D4"/>
    <w:rsid w:val="00B61B91"/>
    <w:rsid w:val="00B63509"/>
    <w:rsid w:val="00B64DF8"/>
    <w:rsid w:val="00B66C83"/>
    <w:rsid w:val="00B7136F"/>
    <w:rsid w:val="00B71651"/>
    <w:rsid w:val="00B73D99"/>
    <w:rsid w:val="00B74F9F"/>
    <w:rsid w:val="00B75652"/>
    <w:rsid w:val="00B75969"/>
    <w:rsid w:val="00B76663"/>
    <w:rsid w:val="00B77E66"/>
    <w:rsid w:val="00B8035F"/>
    <w:rsid w:val="00B8060C"/>
    <w:rsid w:val="00B80A61"/>
    <w:rsid w:val="00B81713"/>
    <w:rsid w:val="00B821AA"/>
    <w:rsid w:val="00B8233A"/>
    <w:rsid w:val="00B8259D"/>
    <w:rsid w:val="00B84331"/>
    <w:rsid w:val="00B86478"/>
    <w:rsid w:val="00B900A6"/>
    <w:rsid w:val="00B9030B"/>
    <w:rsid w:val="00B90734"/>
    <w:rsid w:val="00B91268"/>
    <w:rsid w:val="00B9145E"/>
    <w:rsid w:val="00B91DC3"/>
    <w:rsid w:val="00B9319B"/>
    <w:rsid w:val="00B946E5"/>
    <w:rsid w:val="00B956FE"/>
    <w:rsid w:val="00B97507"/>
    <w:rsid w:val="00BA1A6C"/>
    <w:rsid w:val="00BA346E"/>
    <w:rsid w:val="00BA38C4"/>
    <w:rsid w:val="00BA3AA2"/>
    <w:rsid w:val="00BA3D97"/>
    <w:rsid w:val="00BA56F4"/>
    <w:rsid w:val="00BA5A1D"/>
    <w:rsid w:val="00BA5CEA"/>
    <w:rsid w:val="00BA6CEA"/>
    <w:rsid w:val="00BA79C6"/>
    <w:rsid w:val="00BA7EBF"/>
    <w:rsid w:val="00BB105E"/>
    <w:rsid w:val="00BB1B22"/>
    <w:rsid w:val="00BB316D"/>
    <w:rsid w:val="00BB36E5"/>
    <w:rsid w:val="00BB3778"/>
    <w:rsid w:val="00BB52ED"/>
    <w:rsid w:val="00BB5A8A"/>
    <w:rsid w:val="00BB5CDB"/>
    <w:rsid w:val="00BB75F4"/>
    <w:rsid w:val="00BB7A60"/>
    <w:rsid w:val="00BB7D55"/>
    <w:rsid w:val="00BC1422"/>
    <w:rsid w:val="00BC5B52"/>
    <w:rsid w:val="00BC6F98"/>
    <w:rsid w:val="00BC6FE4"/>
    <w:rsid w:val="00BC7C1C"/>
    <w:rsid w:val="00BD2B03"/>
    <w:rsid w:val="00BD3F91"/>
    <w:rsid w:val="00BD46F7"/>
    <w:rsid w:val="00BD47B6"/>
    <w:rsid w:val="00BE0930"/>
    <w:rsid w:val="00BE2F03"/>
    <w:rsid w:val="00BE365B"/>
    <w:rsid w:val="00BE3BDE"/>
    <w:rsid w:val="00BE5D35"/>
    <w:rsid w:val="00BF0C7A"/>
    <w:rsid w:val="00BF0FD1"/>
    <w:rsid w:val="00BF15E9"/>
    <w:rsid w:val="00BF3BDB"/>
    <w:rsid w:val="00BF4EA3"/>
    <w:rsid w:val="00BF55D8"/>
    <w:rsid w:val="00BF6276"/>
    <w:rsid w:val="00BF69F8"/>
    <w:rsid w:val="00BF7AC1"/>
    <w:rsid w:val="00BF7E25"/>
    <w:rsid w:val="00BF7F52"/>
    <w:rsid w:val="00C0184C"/>
    <w:rsid w:val="00C018FF"/>
    <w:rsid w:val="00C046F2"/>
    <w:rsid w:val="00C04833"/>
    <w:rsid w:val="00C069DD"/>
    <w:rsid w:val="00C140C7"/>
    <w:rsid w:val="00C16AD7"/>
    <w:rsid w:val="00C20450"/>
    <w:rsid w:val="00C2075C"/>
    <w:rsid w:val="00C219A9"/>
    <w:rsid w:val="00C21A42"/>
    <w:rsid w:val="00C236A2"/>
    <w:rsid w:val="00C242F5"/>
    <w:rsid w:val="00C24533"/>
    <w:rsid w:val="00C27793"/>
    <w:rsid w:val="00C31133"/>
    <w:rsid w:val="00C31D20"/>
    <w:rsid w:val="00C32943"/>
    <w:rsid w:val="00C32AD5"/>
    <w:rsid w:val="00C36E79"/>
    <w:rsid w:val="00C40677"/>
    <w:rsid w:val="00C4150D"/>
    <w:rsid w:val="00C429B7"/>
    <w:rsid w:val="00C438C8"/>
    <w:rsid w:val="00C4477D"/>
    <w:rsid w:val="00C50088"/>
    <w:rsid w:val="00C50D4C"/>
    <w:rsid w:val="00C5298F"/>
    <w:rsid w:val="00C52DC2"/>
    <w:rsid w:val="00C54DC4"/>
    <w:rsid w:val="00C566D1"/>
    <w:rsid w:val="00C56A07"/>
    <w:rsid w:val="00C60816"/>
    <w:rsid w:val="00C6166F"/>
    <w:rsid w:val="00C6248C"/>
    <w:rsid w:val="00C62E28"/>
    <w:rsid w:val="00C63702"/>
    <w:rsid w:val="00C63D2D"/>
    <w:rsid w:val="00C64858"/>
    <w:rsid w:val="00C64A3D"/>
    <w:rsid w:val="00C7018E"/>
    <w:rsid w:val="00C71A3F"/>
    <w:rsid w:val="00C740FC"/>
    <w:rsid w:val="00C76252"/>
    <w:rsid w:val="00C7787D"/>
    <w:rsid w:val="00C80E1A"/>
    <w:rsid w:val="00C85B93"/>
    <w:rsid w:val="00C90C42"/>
    <w:rsid w:val="00C9176E"/>
    <w:rsid w:val="00C91EEF"/>
    <w:rsid w:val="00C93163"/>
    <w:rsid w:val="00C93490"/>
    <w:rsid w:val="00C93BE6"/>
    <w:rsid w:val="00C95550"/>
    <w:rsid w:val="00C97441"/>
    <w:rsid w:val="00C97A97"/>
    <w:rsid w:val="00C97CE4"/>
    <w:rsid w:val="00C97DAE"/>
    <w:rsid w:val="00CA084C"/>
    <w:rsid w:val="00CA09DA"/>
    <w:rsid w:val="00CA18D0"/>
    <w:rsid w:val="00CA20E5"/>
    <w:rsid w:val="00CA3DB5"/>
    <w:rsid w:val="00CA4170"/>
    <w:rsid w:val="00CA4B47"/>
    <w:rsid w:val="00CA4FC4"/>
    <w:rsid w:val="00CA62EA"/>
    <w:rsid w:val="00CA6EC3"/>
    <w:rsid w:val="00CA7C2F"/>
    <w:rsid w:val="00CA7ECB"/>
    <w:rsid w:val="00CB095F"/>
    <w:rsid w:val="00CB1AFA"/>
    <w:rsid w:val="00CB23E3"/>
    <w:rsid w:val="00CB29E9"/>
    <w:rsid w:val="00CB44D5"/>
    <w:rsid w:val="00CB490E"/>
    <w:rsid w:val="00CB4EB5"/>
    <w:rsid w:val="00CB5081"/>
    <w:rsid w:val="00CB74DA"/>
    <w:rsid w:val="00CC0559"/>
    <w:rsid w:val="00CC33EC"/>
    <w:rsid w:val="00CC79C5"/>
    <w:rsid w:val="00CD0A60"/>
    <w:rsid w:val="00CD1B70"/>
    <w:rsid w:val="00CD53C8"/>
    <w:rsid w:val="00CD6CAA"/>
    <w:rsid w:val="00CE3AF6"/>
    <w:rsid w:val="00CE447B"/>
    <w:rsid w:val="00CE732B"/>
    <w:rsid w:val="00CF0075"/>
    <w:rsid w:val="00CF10FB"/>
    <w:rsid w:val="00CF1479"/>
    <w:rsid w:val="00CF2D5D"/>
    <w:rsid w:val="00CF2FB3"/>
    <w:rsid w:val="00CF42BB"/>
    <w:rsid w:val="00D00721"/>
    <w:rsid w:val="00D00790"/>
    <w:rsid w:val="00D01CB0"/>
    <w:rsid w:val="00D01FEB"/>
    <w:rsid w:val="00D0372D"/>
    <w:rsid w:val="00D03A14"/>
    <w:rsid w:val="00D04BEE"/>
    <w:rsid w:val="00D05FEF"/>
    <w:rsid w:val="00D064CB"/>
    <w:rsid w:val="00D06DA1"/>
    <w:rsid w:val="00D07CD2"/>
    <w:rsid w:val="00D14BF2"/>
    <w:rsid w:val="00D1778B"/>
    <w:rsid w:val="00D21D4F"/>
    <w:rsid w:val="00D22249"/>
    <w:rsid w:val="00D22B89"/>
    <w:rsid w:val="00D237FC"/>
    <w:rsid w:val="00D25C54"/>
    <w:rsid w:val="00D33CB8"/>
    <w:rsid w:val="00D3415A"/>
    <w:rsid w:val="00D34B52"/>
    <w:rsid w:val="00D36DC4"/>
    <w:rsid w:val="00D37A04"/>
    <w:rsid w:val="00D37DAF"/>
    <w:rsid w:val="00D37F67"/>
    <w:rsid w:val="00D40413"/>
    <w:rsid w:val="00D40EB0"/>
    <w:rsid w:val="00D41328"/>
    <w:rsid w:val="00D42B85"/>
    <w:rsid w:val="00D43ED8"/>
    <w:rsid w:val="00D444B1"/>
    <w:rsid w:val="00D46A99"/>
    <w:rsid w:val="00D50547"/>
    <w:rsid w:val="00D51761"/>
    <w:rsid w:val="00D517E5"/>
    <w:rsid w:val="00D52AE2"/>
    <w:rsid w:val="00D52CA4"/>
    <w:rsid w:val="00D54E93"/>
    <w:rsid w:val="00D557A2"/>
    <w:rsid w:val="00D55E5D"/>
    <w:rsid w:val="00D563D9"/>
    <w:rsid w:val="00D564EF"/>
    <w:rsid w:val="00D57B1C"/>
    <w:rsid w:val="00D57C44"/>
    <w:rsid w:val="00D61168"/>
    <w:rsid w:val="00D61A43"/>
    <w:rsid w:val="00D651D7"/>
    <w:rsid w:val="00D67148"/>
    <w:rsid w:val="00D676EF"/>
    <w:rsid w:val="00D70BC0"/>
    <w:rsid w:val="00D7128F"/>
    <w:rsid w:val="00D72AA2"/>
    <w:rsid w:val="00D74238"/>
    <w:rsid w:val="00D75C35"/>
    <w:rsid w:val="00D761C2"/>
    <w:rsid w:val="00D76540"/>
    <w:rsid w:val="00D81623"/>
    <w:rsid w:val="00D843E2"/>
    <w:rsid w:val="00D853E3"/>
    <w:rsid w:val="00D874DC"/>
    <w:rsid w:val="00D87784"/>
    <w:rsid w:val="00D909AE"/>
    <w:rsid w:val="00D94132"/>
    <w:rsid w:val="00D941AB"/>
    <w:rsid w:val="00D94457"/>
    <w:rsid w:val="00D94FD0"/>
    <w:rsid w:val="00D9593F"/>
    <w:rsid w:val="00DA120A"/>
    <w:rsid w:val="00DA1C79"/>
    <w:rsid w:val="00DA2651"/>
    <w:rsid w:val="00DA5749"/>
    <w:rsid w:val="00DA5CF0"/>
    <w:rsid w:val="00DA7509"/>
    <w:rsid w:val="00DA788A"/>
    <w:rsid w:val="00DA7D81"/>
    <w:rsid w:val="00DB1C8F"/>
    <w:rsid w:val="00DB22EE"/>
    <w:rsid w:val="00DB2850"/>
    <w:rsid w:val="00DB2E23"/>
    <w:rsid w:val="00DB34C7"/>
    <w:rsid w:val="00DB4ED0"/>
    <w:rsid w:val="00DB6B1F"/>
    <w:rsid w:val="00DB738B"/>
    <w:rsid w:val="00DC1843"/>
    <w:rsid w:val="00DC1F77"/>
    <w:rsid w:val="00DC21E1"/>
    <w:rsid w:val="00DC3EA0"/>
    <w:rsid w:val="00DC40E2"/>
    <w:rsid w:val="00DC4F50"/>
    <w:rsid w:val="00DC6AC0"/>
    <w:rsid w:val="00DD06E1"/>
    <w:rsid w:val="00DD11C2"/>
    <w:rsid w:val="00DD16AF"/>
    <w:rsid w:val="00DD2D21"/>
    <w:rsid w:val="00DD3B11"/>
    <w:rsid w:val="00DD3ED3"/>
    <w:rsid w:val="00DD65D1"/>
    <w:rsid w:val="00DD7A81"/>
    <w:rsid w:val="00DE1448"/>
    <w:rsid w:val="00DE1EAC"/>
    <w:rsid w:val="00DE23B8"/>
    <w:rsid w:val="00DE2619"/>
    <w:rsid w:val="00DE3D7A"/>
    <w:rsid w:val="00DE3E9E"/>
    <w:rsid w:val="00DE4381"/>
    <w:rsid w:val="00DF026E"/>
    <w:rsid w:val="00DF1AC6"/>
    <w:rsid w:val="00DF30E5"/>
    <w:rsid w:val="00DF3B64"/>
    <w:rsid w:val="00DF606A"/>
    <w:rsid w:val="00E00A53"/>
    <w:rsid w:val="00E027F0"/>
    <w:rsid w:val="00E0378C"/>
    <w:rsid w:val="00E03F3F"/>
    <w:rsid w:val="00E0482E"/>
    <w:rsid w:val="00E0554F"/>
    <w:rsid w:val="00E07B27"/>
    <w:rsid w:val="00E07E45"/>
    <w:rsid w:val="00E11BDB"/>
    <w:rsid w:val="00E126A8"/>
    <w:rsid w:val="00E1333B"/>
    <w:rsid w:val="00E146D0"/>
    <w:rsid w:val="00E15878"/>
    <w:rsid w:val="00E162CD"/>
    <w:rsid w:val="00E16735"/>
    <w:rsid w:val="00E1781F"/>
    <w:rsid w:val="00E17B7B"/>
    <w:rsid w:val="00E204B1"/>
    <w:rsid w:val="00E22983"/>
    <w:rsid w:val="00E23163"/>
    <w:rsid w:val="00E231ED"/>
    <w:rsid w:val="00E24422"/>
    <w:rsid w:val="00E309F2"/>
    <w:rsid w:val="00E31171"/>
    <w:rsid w:val="00E31D0F"/>
    <w:rsid w:val="00E32655"/>
    <w:rsid w:val="00E32EB5"/>
    <w:rsid w:val="00E33793"/>
    <w:rsid w:val="00E3477F"/>
    <w:rsid w:val="00E35089"/>
    <w:rsid w:val="00E3611A"/>
    <w:rsid w:val="00E367C4"/>
    <w:rsid w:val="00E3716B"/>
    <w:rsid w:val="00E372C5"/>
    <w:rsid w:val="00E37E64"/>
    <w:rsid w:val="00E40E3C"/>
    <w:rsid w:val="00E432FE"/>
    <w:rsid w:val="00E43645"/>
    <w:rsid w:val="00E44FBC"/>
    <w:rsid w:val="00E450F3"/>
    <w:rsid w:val="00E4592F"/>
    <w:rsid w:val="00E4637F"/>
    <w:rsid w:val="00E46696"/>
    <w:rsid w:val="00E46FAA"/>
    <w:rsid w:val="00E47A9D"/>
    <w:rsid w:val="00E50A41"/>
    <w:rsid w:val="00E5110B"/>
    <w:rsid w:val="00E5429E"/>
    <w:rsid w:val="00E55650"/>
    <w:rsid w:val="00E56887"/>
    <w:rsid w:val="00E568DA"/>
    <w:rsid w:val="00E56E3E"/>
    <w:rsid w:val="00E57748"/>
    <w:rsid w:val="00E604F5"/>
    <w:rsid w:val="00E62D6C"/>
    <w:rsid w:val="00E63439"/>
    <w:rsid w:val="00E636D4"/>
    <w:rsid w:val="00E64444"/>
    <w:rsid w:val="00E649DF"/>
    <w:rsid w:val="00E652B3"/>
    <w:rsid w:val="00E65A92"/>
    <w:rsid w:val="00E65F34"/>
    <w:rsid w:val="00E668AC"/>
    <w:rsid w:val="00E66F36"/>
    <w:rsid w:val="00E700E4"/>
    <w:rsid w:val="00E7036A"/>
    <w:rsid w:val="00E70857"/>
    <w:rsid w:val="00E73D9B"/>
    <w:rsid w:val="00E7445F"/>
    <w:rsid w:val="00E74B06"/>
    <w:rsid w:val="00E74DB5"/>
    <w:rsid w:val="00E751D8"/>
    <w:rsid w:val="00E76498"/>
    <w:rsid w:val="00E77D3A"/>
    <w:rsid w:val="00E806A5"/>
    <w:rsid w:val="00E82380"/>
    <w:rsid w:val="00E83B8A"/>
    <w:rsid w:val="00E83D67"/>
    <w:rsid w:val="00E85707"/>
    <w:rsid w:val="00E8665F"/>
    <w:rsid w:val="00E90936"/>
    <w:rsid w:val="00E90CDE"/>
    <w:rsid w:val="00E91500"/>
    <w:rsid w:val="00E926CC"/>
    <w:rsid w:val="00E9374A"/>
    <w:rsid w:val="00E93D63"/>
    <w:rsid w:val="00E955CE"/>
    <w:rsid w:val="00E95999"/>
    <w:rsid w:val="00E95B20"/>
    <w:rsid w:val="00E9674D"/>
    <w:rsid w:val="00EA0007"/>
    <w:rsid w:val="00EA006E"/>
    <w:rsid w:val="00EA03DB"/>
    <w:rsid w:val="00EA0A67"/>
    <w:rsid w:val="00EA35CF"/>
    <w:rsid w:val="00EA3AFE"/>
    <w:rsid w:val="00EA3FCA"/>
    <w:rsid w:val="00EA47D5"/>
    <w:rsid w:val="00EA59E4"/>
    <w:rsid w:val="00EB0B8E"/>
    <w:rsid w:val="00EB0F1A"/>
    <w:rsid w:val="00EB2FCB"/>
    <w:rsid w:val="00EB5057"/>
    <w:rsid w:val="00EB552A"/>
    <w:rsid w:val="00EB78DC"/>
    <w:rsid w:val="00EB7972"/>
    <w:rsid w:val="00EB7E08"/>
    <w:rsid w:val="00EC116B"/>
    <w:rsid w:val="00EC1DC1"/>
    <w:rsid w:val="00EC2B72"/>
    <w:rsid w:val="00EC461B"/>
    <w:rsid w:val="00EC686F"/>
    <w:rsid w:val="00EC756D"/>
    <w:rsid w:val="00ED007E"/>
    <w:rsid w:val="00ED0193"/>
    <w:rsid w:val="00ED033A"/>
    <w:rsid w:val="00ED158B"/>
    <w:rsid w:val="00ED4AEB"/>
    <w:rsid w:val="00ED5CF6"/>
    <w:rsid w:val="00ED6691"/>
    <w:rsid w:val="00ED72DC"/>
    <w:rsid w:val="00EE11AE"/>
    <w:rsid w:val="00EE2AC5"/>
    <w:rsid w:val="00EE2FE7"/>
    <w:rsid w:val="00EE3A50"/>
    <w:rsid w:val="00EE7100"/>
    <w:rsid w:val="00EE7405"/>
    <w:rsid w:val="00EF26E5"/>
    <w:rsid w:val="00EF427C"/>
    <w:rsid w:val="00EF44D4"/>
    <w:rsid w:val="00EF4733"/>
    <w:rsid w:val="00EF4EC3"/>
    <w:rsid w:val="00EF6F53"/>
    <w:rsid w:val="00EF718C"/>
    <w:rsid w:val="00F00F17"/>
    <w:rsid w:val="00F03470"/>
    <w:rsid w:val="00F050F7"/>
    <w:rsid w:val="00F07AC6"/>
    <w:rsid w:val="00F232AC"/>
    <w:rsid w:val="00F2418D"/>
    <w:rsid w:val="00F25263"/>
    <w:rsid w:val="00F2624D"/>
    <w:rsid w:val="00F34508"/>
    <w:rsid w:val="00F34823"/>
    <w:rsid w:val="00F351A3"/>
    <w:rsid w:val="00F405C1"/>
    <w:rsid w:val="00F416EF"/>
    <w:rsid w:val="00F419C9"/>
    <w:rsid w:val="00F42B30"/>
    <w:rsid w:val="00F44429"/>
    <w:rsid w:val="00F451C9"/>
    <w:rsid w:val="00F45D98"/>
    <w:rsid w:val="00F4758B"/>
    <w:rsid w:val="00F475D7"/>
    <w:rsid w:val="00F47D94"/>
    <w:rsid w:val="00F52B5A"/>
    <w:rsid w:val="00F5328F"/>
    <w:rsid w:val="00F53B80"/>
    <w:rsid w:val="00F53C66"/>
    <w:rsid w:val="00F55A85"/>
    <w:rsid w:val="00F55B65"/>
    <w:rsid w:val="00F57821"/>
    <w:rsid w:val="00F5785E"/>
    <w:rsid w:val="00F62FD8"/>
    <w:rsid w:val="00F63F6B"/>
    <w:rsid w:val="00F67903"/>
    <w:rsid w:val="00F72055"/>
    <w:rsid w:val="00F72815"/>
    <w:rsid w:val="00F72FD2"/>
    <w:rsid w:val="00F73C3F"/>
    <w:rsid w:val="00F745DF"/>
    <w:rsid w:val="00F761AD"/>
    <w:rsid w:val="00F77288"/>
    <w:rsid w:val="00F77489"/>
    <w:rsid w:val="00F814DB"/>
    <w:rsid w:val="00F81F71"/>
    <w:rsid w:val="00F822A1"/>
    <w:rsid w:val="00F825B0"/>
    <w:rsid w:val="00F8392F"/>
    <w:rsid w:val="00F84D68"/>
    <w:rsid w:val="00F85F8F"/>
    <w:rsid w:val="00F86BC2"/>
    <w:rsid w:val="00F87DBE"/>
    <w:rsid w:val="00F9377F"/>
    <w:rsid w:val="00F93789"/>
    <w:rsid w:val="00F94740"/>
    <w:rsid w:val="00F96CC3"/>
    <w:rsid w:val="00F979BE"/>
    <w:rsid w:val="00FA102F"/>
    <w:rsid w:val="00FA1D93"/>
    <w:rsid w:val="00FA355E"/>
    <w:rsid w:val="00FA463A"/>
    <w:rsid w:val="00FA544D"/>
    <w:rsid w:val="00FA616C"/>
    <w:rsid w:val="00FB0A5A"/>
    <w:rsid w:val="00FB0E2B"/>
    <w:rsid w:val="00FB1F2D"/>
    <w:rsid w:val="00FB5788"/>
    <w:rsid w:val="00FB61A2"/>
    <w:rsid w:val="00FB6348"/>
    <w:rsid w:val="00FB6947"/>
    <w:rsid w:val="00FB76B2"/>
    <w:rsid w:val="00FC124D"/>
    <w:rsid w:val="00FC26E5"/>
    <w:rsid w:val="00FC2DB2"/>
    <w:rsid w:val="00FC3B70"/>
    <w:rsid w:val="00FC415E"/>
    <w:rsid w:val="00FD06AE"/>
    <w:rsid w:val="00FD315E"/>
    <w:rsid w:val="00FD38E4"/>
    <w:rsid w:val="00FD3C1D"/>
    <w:rsid w:val="00FD5C96"/>
    <w:rsid w:val="00FE07CF"/>
    <w:rsid w:val="00FE1483"/>
    <w:rsid w:val="00FE2424"/>
    <w:rsid w:val="00FE3771"/>
    <w:rsid w:val="00FE3C51"/>
    <w:rsid w:val="00FE5307"/>
    <w:rsid w:val="00FE6EE5"/>
    <w:rsid w:val="00FE7ADF"/>
    <w:rsid w:val="00FF01B4"/>
    <w:rsid w:val="00FF0DD4"/>
    <w:rsid w:val="00FF0E44"/>
    <w:rsid w:val="00FF19D7"/>
    <w:rsid w:val="00FF284A"/>
    <w:rsid w:val="00FF2B37"/>
    <w:rsid w:val="00FF46F2"/>
    <w:rsid w:val="00FF5FB4"/>
    <w:rsid w:val="00FF60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C06EA"/>
  <w15:docId w15:val="{81595EB8-A50F-471C-943F-7984F00B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Heading"/>
    <w:basedOn w:val="Normal"/>
    <w:next w:val="Normal"/>
    <w:link w:val="Heading1Char"/>
    <w:uiPriority w:val="9"/>
    <w:qFormat/>
    <w:rsid w:val="009D5FC6"/>
    <w:pPr>
      <w:keepNext/>
      <w:pBdr>
        <w:bottom w:val="single" w:sz="8" w:space="3" w:color="4F81BD" w:themeColor="accent1"/>
      </w:pBdr>
      <w:spacing w:before="360" w:after="240" w:line="240" w:lineRule="auto"/>
      <w:outlineLvl w:val="0"/>
    </w:pPr>
    <w:rPr>
      <w:rFonts w:asciiTheme="majorHAnsi" w:hAnsiTheme="majorHAnsi" w:cstheme="majorHAnsi"/>
      <w:b/>
      <w:kern w:val="14"/>
      <w:sz w:val="30"/>
      <w:szCs w:val="18"/>
      <w:lang w:val="en-GB"/>
    </w:rPr>
  </w:style>
  <w:style w:type="paragraph" w:styleId="Heading2">
    <w:name w:val="heading 2"/>
    <w:aliases w:val="~SubHeading"/>
    <w:basedOn w:val="Heading1"/>
    <w:next w:val="Normal"/>
    <w:link w:val="Heading2Char"/>
    <w:uiPriority w:val="9"/>
    <w:unhideWhenUsed/>
    <w:qFormat/>
    <w:rsid w:val="009D5FC6"/>
    <w:pPr>
      <w:numPr>
        <w:ilvl w:val="1"/>
      </w:numPr>
      <w:pBdr>
        <w:bottom w:val="none" w:sz="0" w:space="0" w:color="auto"/>
      </w:pBdr>
      <w:spacing w:before="240" w:after="120"/>
      <w:outlineLvl w:val="1"/>
    </w:pPr>
    <w:rPr>
      <w:sz w:val="26"/>
    </w:rPr>
  </w:style>
  <w:style w:type="paragraph" w:styleId="Heading3">
    <w:name w:val="heading 3"/>
    <w:basedOn w:val="Normal"/>
    <w:next w:val="Normal"/>
    <w:link w:val="Heading3Char"/>
    <w:uiPriority w:val="9"/>
    <w:semiHidden/>
    <w:unhideWhenUsed/>
    <w:qFormat/>
    <w:rsid w:val="007C2A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Heading Char"/>
    <w:basedOn w:val="DefaultParagraphFont"/>
    <w:link w:val="Heading1"/>
    <w:uiPriority w:val="9"/>
    <w:rsid w:val="009D5FC6"/>
    <w:rPr>
      <w:rFonts w:asciiTheme="majorHAnsi" w:hAnsiTheme="majorHAnsi" w:cstheme="majorHAnsi"/>
      <w:b/>
      <w:kern w:val="14"/>
      <w:sz w:val="30"/>
      <w:szCs w:val="18"/>
      <w:lang w:val="en-GB"/>
    </w:rPr>
  </w:style>
  <w:style w:type="character" w:customStyle="1" w:styleId="Heading2Char">
    <w:name w:val="Heading 2 Char"/>
    <w:aliases w:val="~SubHeading Char"/>
    <w:basedOn w:val="DefaultParagraphFont"/>
    <w:link w:val="Heading2"/>
    <w:uiPriority w:val="9"/>
    <w:rsid w:val="009D5FC6"/>
    <w:rPr>
      <w:rFonts w:asciiTheme="majorHAnsi" w:hAnsiTheme="majorHAnsi" w:cstheme="majorHAnsi"/>
      <w:b/>
      <w:kern w:val="14"/>
      <w:sz w:val="26"/>
      <w:szCs w:val="18"/>
      <w:lang w:val="en-GB"/>
    </w:rPr>
  </w:style>
  <w:style w:type="table" w:styleId="TableGrid">
    <w:name w:val="Table Grid"/>
    <w:basedOn w:val="TableNormal"/>
    <w:uiPriority w:val="59"/>
    <w:rsid w:val="009D5FC6"/>
    <w:pPr>
      <w:spacing w:after="0" w:line="240" w:lineRule="auto"/>
    </w:pPr>
    <w:rPr>
      <w:rFonts w:asciiTheme="majorHAnsi" w:hAnsiTheme="majorHAnsi" w:cstheme="majorHAnsi"/>
      <w:color w:val="000000" w:themeColor="text1"/>
      <w:kern w:val="14"/>
      <w:sz w:val="18"/>
      <w:szCs w:val="18"/>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aseStyle"/>
    <w:uiPriority w:val="1"/>
    <w:rsid w:val="009D5FC6"/>
    <w:pPr>
      <w:spacing w:after="0" w:line="240" w:lineRule="auto"/>
    </w:pPr>
    <w:rPr>
      <w:rFonts w:cstheme="majorHAnsi"/>
      <w:color w:val="1F497D" w:themeColor="text2"/>
      <w:kern w:val="14"/>
      <w:sz w:val="18"/>
      <w:szCs w:val="18"/>
      <w:lang w:val="en-GB"/>
    </w:rPr>
  </w:style>
  <w:style w:type="paragraph" w:customStyle="1" w:styleId="DocDate">
    <w:name w:val="~DocDate"/>
    <w:basedOn w:val="NoSpacing"/>
    <w:next w:val="Normal"/>
    <w:rsid w:val="009D5FC6"/>
    <w:pPr>
      <w:jc w:val="right"/>
    </w:pPr>
    <w:rPr>
      <w:b/>
    </w:rPr>
  </w:style>
  <w:style w:type="paragraph" w:customStyle="1" w:styleId="Title">
    <w:name w:val="~Title"/>
    <w:basedOn w:val="NoSpacing"/>
    <w:rsid w:val="009D5FC6"/>
    <w:rPr>
      <w:b/>
      <w:color w:val="4F81BD" w:themeColor="accent1"/>
      <w:sz w:val="48"/>
    </w:rPr>
  </w:style>
  <w:style w:type="paragraph" w:styleId="Caption">
    <w:name w:val="caption"/>
    <w:aliases w:val="~Caption"/>
    <w:basedOn w:val="Normal"/>
    <w:next w:val="Normal"/>
    <w:link w:val="CaptionChar"/>
    <w:qFormat/>
    <w:rsid w:val="009D5FC6"/>
    <w:pPr>
      <w:keepNext/>
      <w:pBdr>
        <w:top w:val="single" w:sz="4" w:space="2" w:color="EEECE1" w:themeColor="background2"/>
        <w:left w:val="single" w:sz="4" w:space="2" w:color="EEECE1" w:themeColor="background2"/>
        <w:bottom w:val="single" w:sz="4" w:space="2" w:color="EEECE1" w:themeColor="background2"/>
      </w:pBdr>
      <w:shd w:val="clear" w:color="auto" w:fill="EEECE1" w:themeFill="background2"/>
      <w:spacing w:before="60" w:after="0" w:line="240" w:lineRule="auto"/>
      <w:ind w:left="57" w:right="28"/>
    </w:pPr>
    <w:rPr>
      <w:rFonts w:asciiTheme="majorHAnsi" w:eastAsia="Calibri" w:hAnsiTheme="majorHAnsi" w:cs="Arial"/>
      <w:b/>
      <w:bCs/>
      <w:color w:val="000000" w:themeColor="text1"/>
      <w:kern w:val="14"/>
      <w:sz w:val="18"/>
      <w:szCs w:val="20"/>
      <w:lang w:val="en-GB"/>
    </w:rPr>
  </w:style>
  <w:style w:type="paragraph" w:customStyle="1" w:styleId="GraphicCentre">
    <w:name w:val="~GraphicCentre"/>
    <w:basedOn w:val="Normal"/>
    <w:rsid w:val="009D5FC6"/>
    <w:pPr>
      <w:spacing w:before="60" w:after="40" w:line="240" w:lineRule="auto"/>
      <w:jc w:val="center"/>
    </w:pPr>
    <w:rPr>
      <w:rFonts w:cstheme="majorHAnsi"/>
      <w:color w:val="1F497D" w:themeColor="text2"/>
      <w:kern w:val="14"/>
      <w:sz w:val="18"/>
      <w:szCs w:val="18"/>
      <w:lang w:val="en-GB"/>
    </w:rPr>
  </w:style>
  <w:style w:type="paragraph" w:customStyle="1" w:styleId="IntroText">
    <w:name w:val="~IntroText"/>
    <w:basedOn w:val="Normal"/>
    <w:next w:val="Normal"/>
    <w:qFormat/>
    <w:rsid w:val="009D5FC6"/>
    <w:pPr>
      <w:pBdr>
        <w:top w:val="single" w:sz="8" w:space="4" w:color="EEECE1" w:themeColor="background2"/>
        <w:left w:val="single" w:sz="8" w:space="4" w:color="EEECE1" w:themeColor="background2"/>
        <w:bottom w:val="single" w:sz="8" w:space="4" w:color="EEECE1" w:themeColor="background2"/>
        <w:right w:val="single" w:sz="8" w:space="4" w:color="EEECE1" w:themeColor="background2"/>
      </w:pBdr>
      <w:shd w:val="clear" w:color="auto" w:fill="EEECE1" w:themeFill="background2"/>
      <w:spacing w:after="240" w:line="312" w:lineRule="auto"/>
      <w:ind w:left="113" w:right="113"/>
    </w:pPr>
    <w:rPr>
      <w:rFonts w:asciiTheme="majorHAnsi" w:hAnsiTheme="majorHAnsi" w:cstheme="majorHAnsi"/>
      <w:b/>
      <w:color w:val="000000" w:themeColor="text1"/>
      <w:kern w:val="14"/>
      <w:sz w:val="18"/>
      <w:szCs w:val="18"/>
      <w:lang w:val="en-GB"/>
    </w:rPr>
  </w:style>
  <w:style w:type="paragraph" w:customStyle="1" w:styleId="Source">
    <w:name w:val="~Source"/>
    <w:basedOn w:val="Caption"/>
    <w:next w:val="Normal"/>
    <w:qFormat/>
    <w:rsid w:val="009D5FC6"/>
    <w:pPr>
      <w:keepNext w:val="0"/>
      <w:pBdr>
        <w:bottom w:val="single" w:sz="4" w:space="1" w:color="EEECE1" w:themeColor="background2"/>
      </w:pBdr>
      <w:spacing w:before="0"/>
    </w:pPr>
    <w:rPr>
      <w:b w:val="0"/>
      <w:sz w:val="16"/>
      <w:szCs w:val="16"/>
    </w:rPr>
  </w:style>
  <w:style w:type="paragraph" w:customStyle="1" w:styleId="Spacer">
    <w:name w:val="~Spacer"/>
    <w:basedOn w:val="NoSpacing"/>
    <w:rsid w:val="009D5FC6"/>
    <w:rPr>
      <w:rFonts w:ascii="Arial" w:hAnsi="Arial"/>
      <w:sz w:val="6"/>
    </w:rPr>
  </w:style>
  <w:style w:type="paragraph" w:customStyle="1" w:styleId="TableTextLeft">
    <w:name w:val="~TableTextLeft"/>
    <w:basedOn w:val="Normal"/>
    <w:link w:val="TableTextLeftChar"/>
    <w:qFormat/>
    <w:rsid w:val="009D5FC6"/>
    <w:pPr>
      <w:keepNext/>
      <w:spacing w:after="0" w:line="240" w:lineRule="auto"/>
    </w:pPr>
    <w:rPr>
      <w:rFonts w:ascii="Arial Narrow" w:hAnsi="Arial Narrow" w:cstheme="majorHAnsi"/>
      <w:color w:val="000000" w:themeColor="text1"/>
      <w:kern w:val="12"/>
      <w:sz w:val="16"/>
      <w:szCs w:val="18"/>
      <w:lang w:val="en-GB"/>
    </w:rPr>
  </w:style>
  <w:style w:type="paragraph" w:customStyle="1" w:styleId="TableBullet1">
    <w:name w:val="~TableBullet1"/>
    <w:basedOn w:val="TableTextLeft"/>
    <w:rsid w:val="009D5FC6"/>
    <w:pPr>
      <w:numPr>
        <w:numId w:val="1"/>
      </w:numPr>
    </w:pPr>
    <w:rPr>
      <w:rFonts w:eastAsia="Calibri" w:cs="Arial"/>
      <w:szCs w:val="20"/>
    </w:rPr>
  </w:style>
  <w:style w:type="paragraph" w:customStyle="1" w:styleId="TableHeadingLeft">
    <w:name w:val="~TableHeadingLeft"/>
    <w:basedOn w:val="TableTextLeft"/>
    <w:qFormat/>
    <w:rsid w:val="009D5FC6"/>
    <w:pPr>
      <w:spacing w:before="20" w:after="20"/>
    </w:pPr>
    <w:rPr>
      <w:b/>
      <w:szCs w:val="26"/>
    </w:rPr>
  </w:style>
  <w:style w:type="paragraph" w:customStyle="1" w:styleId="TableHeadingRight">
    <w:name w:val="~TableHeadingRight"/>
    <w:basedOn w:val="TableHeadingLeft"/>
    <w:qFormat/>
    <w:rsid w:val="009D5FC6"/>
    <w:pPr>
      <w:jc w:val="right"/>
    </w:pPr>
  </w:style>
  <w:style w:type="table" w:customStyle="1" w:styleId="TableStd">
    <w:name w:val="~TableStd"/>
    <w:basedOn w:val="TableNormal"/>
    <w:uiPriority w:val="99"/>
    <w:qFormat/>
    <w:rsid w:val="009D5FC6"/>
    <w:pPr>
      <w:spacing w:after="0" w:line="240" w:lineRule="auto"/>
    </w:pPr>
    <w:rPr>
      <w:rFonts w:asciiTheme="majorHAnsi" w:hAnsiTheme="majorHAnsi" w:cstheme="majorHAnsi"/>
      <w:color w:val="000000" w:themeColor="text1"/>
      <w:kern w:val="14"/>
      <w:sz w:val="20"/>
      <w:szCs w:val="18"/>
      <w:lang w:val="en-GB"/>
    </w:rPr>
    <w:tblPr>
      <w:tblInd w:w="57" w:type="dxa"/>
      <w:tblBorders>
        <w:top w:val="single" w:sz="4" w:space="0" w:color="4F81BD" w:themeColor="accent1"/>
        <w:bottom w:val="single" w:sz="4" w:space="0" w:color="4F81BD" w:themeColor="accent1"/>
        <w:insideH w:val="single" w:sz="4" w:space="0" w:color="F79646" w:themeColor="accent6"/>
      </w:tblBorders>
      <w:tblCellMar>
        <w:left w:w="57" w:type="dxa"/>
        <w:right w:w="57" w:type="dxa"/>
      </w:tblCellMar>
    </w:tblPr>
    <w:tblStylePr w:type="firstRow">
      <w:tblPr/>
      <w:tcPr>
        <w:tcBorders>
          <w:top w:val="single" w:sz="4" w:space="0" w:color="FFFFFF" w:themeColor="background1"/>
          <w:left w:val="nil"/>
          <w:bottom w:val="single" w:sz="4" w:space="0" w:color="4F81BD" w:themeColor="accent1"/>
          <w:right w:val="nil"/>
          <w:insideH w:val="nil"/>
          <w:insideV w:val="single" w:sz="4" w:space="0" w:color="FFFFFF" w:themeColor="background1"/>
        </w:tcBorders>
        <w:shd w:val="clear" w:color="auto" w:fill="EEECE1" w:themeFill="background2"/>
      </w:tcPr>
    </w:tblStylePr>
  </w:style>
  <w:style w:type="paragraph" w:customStyle="1" w:styleId="TableTextRight">
    <w:name w:val="~TableTextRight"/>
    <w:basedOn w:val="TableTextLeft"/>
    <w:rsid w:val="009D5FC6"/>
    <w:pPr>
      <w:jc w:val="right"/>
    </w:pPr>
  </w:style>
  <w:style w:type="paragraph" w:styleId="Footer">
    <w:name w:val="footer"/>
    <w:aliases w:val="~Footer"/>
    <w:basedOn w:val="NoSpacing"/>
    <w:link w:val="FooterChar"/>
    <w:uiPriority w:val="99"/>
    <w:rsid w:val="009D5FC6"/>
    <w:pPr>
      <w:tabs>
        <w:tab w:val="center" w:pos="4513"/>
        <w:tab w:val="right" w:pos="9026"/>
      </w:tabs>
    </w:pPr>
  </w:style>
  <w:style w:type="character" w:customStyle="1" w:styleId="FooterChar">
    <w:name w:val="Footer Char"/>
    <w:aliases w:val="~Footer Char"/>
    <w:basedOn w:val="DefaultParagraphFont"/>
    <w:link w:val="Footer"/>
    <w:uiPriority w:val="99"/>
    <w:rsid w:val="009D5FC6"/>
    <w:rPr>
      <w:rFonts w:cstheme="majorHAnsi"/>
      <w:color w:val="1F497D" w:themeColor="text2"/>
      <w:kern w:val="14"/>
      <w:sz w:val="18"/>
      <w:szCs w:val="18"/>
      <w:lang w:val="en-GB"/>
    </w:rPr>
  </w:style>
  <w:style w:type="paragraph" w:styleId="Header">
    <w:name w:val="header"/>
    <w:aliases w:val="~Header"/>
    <w:basedOn w:val="NoSpacing"/>
    <w:link w:val="HeaderChar"/>
    <w:uiPriority w:val="99"/>
    <w:rsid w:val="009D5FC6"/>
    <w:pPr>
      <w:spacing w:after="40"/>
    </w:pPr>
  </w:style>
  <w:style w:type="character" w:customStyle="1" w:styleId="HeaderChar">
    <w:name w:val="Header Char"/>
    <w:aliases w:val="~Header Char"/>
    <w:basedOn w:val="DefaultParagraphFont"/>
    <w:link w:val="Header"/>
    <w:uiPriority w:val="99"/>
    <w:rsid w:val="009D5FC6"/>
    <w:rPr>
      <w:rFonts w:cstheme="majorHAnsi"/>
      <w:color w:val="1F497D" w:themeColor="text2"/>
      <w:kern w:val="14"/>
      <w:sz w:val="18"/>
      <w:szCs w:val="18"/>
      <w:lang w:val="en-GB"/>
    </w:rPr>
  </w:style>
  <w:style w:type="character" w:customStyle="1" w:styleId="CaptionChar">
    <w:name w:val="Caption Char"/>
    <w:aliases w:val="~Caption Char"/>
    <w:basedOn w:val="DefaultParagraphFont"/>
    <w:link w:val="Caption"/>
    <w:rsid w:val="009D5FC6"/>
    <w:rPr>
      <w:rFonts w:asciiTheme="majorHAnsi" w:eastAsia="Calibri" w:hAnsiTheme="majorHAnsi" w:cs="Arial"/>
      <w:b/>
      <w:bCs/>
      <w:color w:val="000000" w:themeColor="text1"/>
      <w:kern w:val="14"/>
      <w:sz w:val="18"/>
      <w:szCs w:val="20"/>
      <w:shd w:val="clear" w:color="auto" w:fill="EEECE1" w:themeFill="background2"/>
      <w:lang w:val="en-GB"/>
    </w:rPr>
  </w:style>
  <w:style w:type="paragraph" w:customStyle="1" w:styleId="KeyStat">
    <w:name w:val="~KeyStat"/>
    <w:basedOn w:val="Normal"/>
    <w:rsid w:val="009D5FC6"/>
    <w:pPr>
      <w:spacing w:before="20" w:after="40" w:line="264" w:lineRule="auto"/>
    </w:pPr>
    <w:rPr>
      <w:rFonts w:asciiTheme="majorHAnsi" w:hAnsiTheme="majorHAnsi" w:cstheme="majorHAnsi"/>
      <w:b/>
      <w:color w:val="4F81BD" w:themeColor="accent1"/>
      <w:kern w:val="14"/>
      <w:szCs w:val="18"/>
      <w:lang w:val="en-GB"/>
    </w:rPr>
  </w:style>
  <w:style w:type="paragraph" w:customStyle="1" w:styleId="KeyData">
    <w:name w:val="~KeyData"/>
    <w:basedOn w:val="KeyStat"/>
    <w:rsid w:val="009D5FC6"/>
    <w:pPr>
      <w:framePr w:wrap="around" w:hAnchor="text"/>
      <w:jc w:val="right"/>
    </w:pPr>
  </w:style>
  <w:style w:type="paragraph" w:customStyle="1" w:styleId="Email">
    <w:name w:val="~Email"/>
    <w:basedOn w:val="NoSpacing"/>
    <w:rsid w:val="009D5FC6"/>
    <w:pPr>
      <w:framePr w:hSpace="181" w:wrap="around" w:vAnchor="text" w:hAnchor="page" w:x="8364" w:y="1"/>
    </w:pPr>
    <w:rPr>
      <w:sz w:val="14"/>
    </w:rPr>
  </w:style>
  <w:style w:type="paragraph" w:customStyle="1" w:styleId="LastPgDisclaimer">
    <w:name w:val="~LastPgDisclaimer"/>
    <w:basedOn w:val="NoSpacing"/>
    <w:rsid w:val="009D5FC6"/>
    <w:pPr>
      <w:spacing w:before="60" w:after="60"/>
    </w:pPr>
    <w:rPr>
      <w:rFonts w:ascii="Arial Narrow" w:hAnsi="Arial Narrow"/>
      <w:sz w:val="12"/>
    </w:rPr>
  </w:style>
  <w:style w:type="paragraph" w:customStyle="1" w:styleId="LastPgAddress">
    <w:name w:val="~LastPgAddress"/>
    <w:basedOn w:val="TableTextLeft"/>
    <w:rsid w:val="009D5FC6"/>
    <w:pPr>
      <w:spacing w:before="20"/>
    </w:pPr>
    <w:rPr>
      <w:sz w:val="12"/>
    </w:rPr>
  </w:style>
  <w:style w:type="paragraph" w:customStyle="1" w:styleId="PageWarning">
    <w:name w:val="~PageWarning"/>
    <w:basedOn w:val="Header"/>
    <w:rsid w:val="009D5FC6"/>
    <w:rPr>
      <w:b/>
      <w:color w:val="FF0000"/>
      <w:sz w:val="26"/>
    </w:rPr>
  </w:style>
  <w:style w:type="paragraph" w:customStyle="1" w:styleId="BusiDescript">
    <w:name w:val="~BusiDescript"/>
    <w:basedOn w:val="TableTextLeft"/>
    <w:rsid w:val="009D5FC6"/>
    <w:pPr>
      <w:spacing w:before="80" w:line="288" w:lineRule="auto"/>
    </w:pPr>
    <w:rPr>
      <w:color w:val="auto"/>
    </w:rPr>
  </w:style>
  <w:style w:type="character" w:styleId="Hyperlink">
    <w:name w:val="Hyperlink"/>
    <w:aliases w:val="~Hyperlink"/>
    <w:basedOn w:val="DefaultParagraphFont"/>
    <w:uiPriority w:val="99"/>
    <w:rsid w:val="009D5FC6"/>
    <w:rPr>
      <w:color w:val="4F81BD" w:themeColor="accent1"/>
      <w:u w:val="single"/>
    </w:rPr>
  </w:style>
  <w:style w:type="character" w:customStyle="1" w:styleId="TableTextLeftChar">
    <w:name w:val="~TableTextLeft Char"/>
    <w:basedOn w:val="DefaultParagraphFont"/>
    <w:link w:val="TableTextLeft"/>
    <w:rsid w:val="009D5FC6"/>
    <w:rPr>
      <w:rFonts w:ascii="Arial Narrow" w:hAnsi="Arial Narrow" w:cstheme="majorHAnsi"/>
      <w:color w:val="000000" w:themeColor="text1"/>
      <w:kern w:val="12"/>
      <w:sz w:val="16"/>
      <w:szCs w:val="18"/>
      <w:lang w:val="en-GB"/>
    </w:rPr>
  </w:style>
  <w:style w:type="paragraph" w:styleId="BalloonText">
    <w:name w:val="Balloon Text"/>
    <w:basedOn w:val="Normal"/>
    <w:link w:val="BalloonTextChar"/>
    <w:uiPriority w:val="99"/>
    <w:semiHidden/>
    <w:unhideWhenUsed/>
    <w:rsid w:val="00E30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9F2"/>
    <w:rPr>
      <w:rFonts w:ascii="Tahoma" w:hAnsi="Tahoma" w:cs="Tahoma"/>
      <w:sz w:val="16"/>
      <w:szCs w:val="16"/>
    </w:rPr>
  </w:style>
  <w:style w:type="character" w:customStyle="1" w:styleId="Heading3Char">
    <w:name w:val="Heading 3 Char"/>
    <w:basedOn w:val="DefaultParagraphFont"/>
    <w:link w:val="Heading3"/>
    <w:uiPriority w:val="9"/>
    <w:semiHidden/>
    <w:rsid w:val="007C2AE9"/>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EE11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11AE"/>
    <w:rPr>
      <w:sz w:val="20"/>
      <w:szCs w:val="20"/>
    </w:rPr>
  </w:style>
  <w:style w:type="character" w:styleId="FootnoteReference">
    <w:name w:val="footnote reference"/>
    <w:basedOn w:val="DefaultParagraphFont"/>
    <w:uiPriority w:val="99"/>
    <w:semiHidden/>
    <w:unhideWhenUsed/>
    <w:rsid w:val="00EE11AE"/>
    <w:rPr>
      <w:vertAlign w:val="superscript"/>
    </w:rPr>
  </w:style>
  <w:style w:type="paragraph" w:styleId="ListParagraph">
    <w:name w:val="List Paragraph"/>
    <w:basedOn w:val="Normal"/>
    <w:uiPriority w:val="34"/>
    <w:qFormat/>
    <w:rsid w:val="004124A6"/>
    <w:pPr>
      <w:spacing w:before="120" w:after="0" w:line="312" w:lineRule="auto"/>
      <w:ind w:left="720"/>
      <w:contextualSpacing/>
    </w:pPr>
    <w:rPr>
      <w:rFonts w:ascii="Arial" w:hAnsi="Arial" w:cstheme="majorHAnsi"/>
      <w:color w:val="000000" w:themeColor="text1"/>
      <w:kern w:val="14"/>
      <w:sz w:val="18"/>
      <w:szCs w:val="18"/>
      <w:lang w:val="en-GB"/>
    </w:rPr>
  </w:style>
  <w:style w:type="character" w:styleId="UnresolvedMention">
    <w:name w:val="Unresolved Mention"/>
    <w:basedOn w:val="DefaultParagraphFont"/>
    <w:uiPriority w:val="99"/>
    <w:semiHidden/>
    <w:unhideWhenUsed/>
    <w:rsid w:val="00406676"/>
    <w:rPr>
      <w:color w:val="605E5C"/>
      <w:shd w:val="clear" w:color="auto" w:fill="E1DFDD"/>
    </w:rPr>
  </w:style>
  <w:style w:type="paragraph" w:styleId="Revision">
    <w:name w:val="Revision"/>
    <w:hidden/>
    <w:uiPriority w:val="99"/>
    <w:semiHidden/>
    <w:rsid w:val="00256C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84727">
      <w:bodyDiv w:val="1"/>
      <w:marLeft w:val="0"/>
      <w:marRight w:val="0"/>
      <w:marTop w:val="0"/>
      <w:marBottom w:val="0"/>
      <w:divBdr>
        <w:top w:val="none" w:sz="0" w:space="0" w:color="auto"/>
        <w:left w:val="none" w:sz="0" w:space="0" w:color="auto"/>
        <w:bottom w:val="none" w:sz="0" w:space="0" w:color="auto"/>
        <w:right w:val="none" w:sz="0" w:space="0" w:color="auto"/>
      </w:divBdr>
    </w:div>
    <w:div w:id="952248732">
      <w:bodyDiv w:val="1"/>
      <w:marLeft w:val="0"/>
      <w:marRight w:val="0"/>
      <w:marTop w:val="0"/>
      <w:marBottom w:val="0"/>
      <w:divBdr>
        <w:top w:val="none" w:sz="0" w:space="0" w:color="auto"/>
        <w:left w:val="none" w:sz="0" w:space="0" w:color="auto"/>
        <w:bottom w:val="none" w:sz="0" w:space="0" w:color="auto"/>
        <w:right w:val="none" w:sz="0" w:space="0" w:color="auto"/>
      </w:divBdr>
    </w:div>
    <w:div w:id="1302882038">
      <w:bodyDiv w:val="1"/>
      <w:marLeft w:val="0"/>
      <w:marRight w:val="0"/>
      <w:marTop w:val="0"/>
      <w:marBottom w:val="0"/>
      <w:divBdr>
        <w:top w:val="none" w:sz="0" w:space="0" w:color="auto"/>
        <w:left w:val="none" w:sz="0" w:space="0" w:color="auto"/>
        <w:bottom w:val="none" w:sz="0" w:space="0" w:color="auto"/>
        <w:right w:val="none" w:sz="0" w:space="0" w:color="auto"/>
      </w:divBdr>
    </w:div>
    <w:div w:id="1613248953">
      <w:bodyDiv w:val="1"/>
      <w:marLeft w:val="0"/>
      <w:marRight w:val="0"/>
      <w:marTop w:val="0"/>
      <w:marBottom w:val="0"/>
      <w:divBdr>
        <w:top w:val="none" w:sz="0" w:space="0" w:color="auto"/>
        <w:left w:val="none" w:sz="0" w:space="0" w:color="auto"/>
        <w:bottom w:val="none" w:sz="0" w:space="0" w:color="auto"/>
        <w:right w:val="none" w:sz="0" w:space="0" w:color="auto"/>
      </w:divBdr>
    </w:div>
    <w:div w:id="168987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fo@afca.org.a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fca.org.a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0000"/>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87FF1684552D4FBC08249258BE3911" ma:contentTypeVersion="13" ma:contentTypeDescription="Create a new document." ma:contentTypeScope="" ma:versionID="c7dd6a67aec81592a9fbb3c7d467d8c9">
  <xsd:schema xmlns:xsd="http://www.w3.org/2001/XMLSchema" xmlns:xs="http://www.w3.org/2001/XMLSchema" xmlns:p="http://schemas.microsoft.com/office/2006/metadata/properties" xmlns:ns3="9e91560b-3cc9-463b-b2d8-397b56f8f738" xmlns:ns4="80f920cf-48bf-4df8-a919-8bf6057888d8" targetNamespace="http://schemas.microsoft.com/office/2006/metadata/properties" ma:root="true" ma:fieldsID="6858e6d847396aaf3ac7ee9f01c678e4" ns3:_="" ns4:_="">
    <xsd:import namespace="9e91560b-3cc9-463b-b2d8-397b56f8f738"/>
    <xsd:import namespace="80f920cf-48bf-4df8-a919-8bf6057888d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1560b-3cc9-463b-b2d8-397b56f8f7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f920cf-48bf-4df8-a919-8bf6057888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C26D9E-5AB4-4AE4-9BF9-C022E949A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1560b-3cc9-463b-b2d8-397b56f8f738"/>
    <ds:schemaRef ds:uri="80f920cf-48bf-4df8-a919-8bf6057888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20564C-8594-455B-80E3-E5E495B734CE}">
  <ds:schemaRefs>
    <ds:schemaRef ds:uri="http://schemas.microsoft.com/sharepoint/v3/contenttype/forms"/>
  </ds:schemaRefs>
</ds:datastoreItem>
</file>

<file path=customXml/itemProps3.xml><?xml version="1.0" encoding="utf-8"?>
<ds:datastoreItem xmlns:ds="http://schemas.openxmlformats.org/officeDocument/2006/customXml" ds:itemID="{28F7E5A1-2FC1-40D0-AC96-69ABB80EE53C}">
  <ds:schemaRefs>
    <ds:schemaRef ds:uri="http://schemas.openxmlformats.org/officeDocument/2006/bibliography"/>
  </ds:schemaRefs>
</ds:datastoreItem>
</file>

<file path=customXml/itemProps4.xml><?xml version="1.0" encoding="utf-8"?>
<ds:datastoreItem xmlns:ds="http://schemas.openxmlformats.org/officeDocument/2006/customXml" ds:itemID="{593C1396-964D-47B5-9E7B-903E92DADEAE}">
  <ds:schemaRefs>
    <ds:schemaRef ds:uri="http://purl.org/dc/terms/"/>
    <ds:schemaRef ds:uri="9e91560b-3cc9-463b-b2d8-397b56f8f738"/>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80f920cf-48bf-4df8-a919-8bf6057888d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finola.burke@raasgroup.com;moira.daw@raasgroup.com</dc:creator>
  <cp:keywords/>
  <dc:description/>
  <cp:lastModifiedBy>Finola Burke</cp:lastModifiedBy>
  <cp:revision>5</cp:revision>
  <cp:lastPrinted>2021-05-01T23:13:00Z</cp:lastPrinted>
  <dcterms:created xsi:type="dcterms:W3CDTF">2021-05-01T22:57:00Z</dcterms:created>
  <dcterms:modified xsi:type="dcterms:W3CDTF">2021-05-01T23:13:00Z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0x010100F887FF1684552D4FBC08249258BE3911</vt:lpwstr>
  </property>
</Properties>
</file>