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о</w:t>
      </w:r>
      <w:r>
        <w:rPr>
          <w:rFonts w:ascii="Times New Roman" w:hAnsi="Times New Roman" w:cs="Times New Roman"/>
          <w:sz w:val="28"/>
          <w:szCs w:val="28"/>
        </w:rPr>
        <w:t xml:space="preserve">рганиз</w:t>
      </w:r>
      <w:r>
        <w:rPr>
          <w:rFonts w:ascii="Times New Roman" w:hAnsi="Times New Roman" w:cs="Times New Roman"/>
          <w:sz w:val="28"/>
          <w:szCs w:val="28"/>
        </w:rPr>
        <w:t xml:space="preserve">овать</w:t>
      </w:r>
      <w:r>
        <w:rPr>
          <w:rFonts w:ascii="Times New Roman" w:hAnsi="Times New Roman" w:cs="Times New Roman"/>
          <w:sz w:val="28"/>
          <w:szCs w:val="28"/>
        </w:rPr>
        <w:t xml:space="preserve"> летн</w:t>
      </w:r>
      <w:r>
        <w:rPr>
          <w:rFonts w:ascii="Times New Roman" w:hAnsi="Times New Roman" w:cs="Times New Roman"/>
          <w:sz w:val="28"/>
          <w:szCs w:val="28"/>
        </w:rPr>
        <w:t xml:space="preserve">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детский </w:t>
      </w:r>
      <w:r>
        <w:rPr>
          <w:rFonts w:ascii="Times New Roman" w:hAnsi="Times New Roman" w:cs="Times New Roman"/>
          <w:sz w:val="28"/>
          <w:szCs w:val="28"/>
        </w:rPr>
        <w:t xml:space="preserve">пришкольн</w:t>
      </w:r>
      <w:r>
        <w:rPr>
          <w:rFonts w:ascii="Times New Roman" w:hAnsi="Times New Roman" w:cs="Times New Roman"/>
          <w:sz w:val="28"/>
          <w:szCs w:val="28"/>
        </w:rPr>
        <w:t xml:space="preserve">ый</w:t>
      </w:r>
      <w:r>
        <w:rPr>
          <w:rFonts w:ascii="Times New Roman" w:hAnsi="Times New Roman" w:cs="Times New Roman"/>
          <w:sz w:val="28"/>
          <w:szCs w:val="28"/>
        </w:rPr>
        <w:t xml:space="preserve"> лагер</w:t>
      </w:r>
      <w:r>
        <w:rPr>
          <w:rFonts w:ascii="Times New Roman" w:hAnsi="Times New Roman" w:cs="Times New Roman"/>
          <w:sz w:val="28"/>
          <w:szCs w:val="28"/>
        </w:rPr>
        <w:t xml:space="preserve">ь</w:t>
      </w:r>
      <w:r>
        <w:rPr>
          <w:rFonts w:ascii="Times New Roman" w:hAnsi="Times New Roman" w:cs="Times New Roman"/>
          <w:sz w:val="28"/>
          <w:szCs w:val="28"/>
        </w:rPr>
        <w:t xml:space="preserve"> дневного пребывания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hyperlink r:id="rId10" w:tooltip="http://publication.pravo.gov.ru/Document/View/000120170802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Приказ Минобрнауки России от 13.07.2017 N 656 "Об утверждении примерных положений об организациях отдыха детей и их оздоровления" </w:t>
        </w:r>
      </w:hyperlink>
      <w:r>
        <w:rPr>
          <w:rFonts w:ascii="Times New Roman" w:hAnsi="Times New Roman" w:cs="Times New Roman"/>
          <w:sz w:val="28"/>
          <w:szCs w:val="28"/>
        </w:rPr>
        <w:t xml:space="preserve">(вместе с "Примерным положением об организациях отдыха детей и их оздоровления сезонного действия или круглогодичного действ</w:t>
      </w:r>
      <w:r>
        <w:rPr>
          <w:rFonts w:ascii="Times New Roman" w:hAnsi="Times New Roman" w:cs="Times New Roman"/>
          <w:sz w:val="28"/>
          <w:szCs w:val="28"/>
        </w:rPr>
        <w:t xml:space="preserve">ия", "Примерным положением о лагерях, организованных образовательными организациями, осуществляющими организацию отдыха и оздоровления обучающихся в каникулярное время (с круглосуточным или дневным пребыванием)", "Примерным положением о детских лагерях тру</w:t>
      </w:r>
      <w:r>
        <w:rPr>
          <w:rFonts w:ascii="Times New Roman" w:hAnsi="Times New Roman" w:cs="Times New Roman"/>
          <w:sz w:val="28"/>
          <w:szCs w:val="28"/>
        </w:rPr>
        <w:t xml:space="preserve">да и отдыха", "Примерным положением о детских лагерях палаточного типа", "Примерным положением о детских специализированных (профильных) лагерях, детских лагерях различной тематической направленности") </w:t>
      </w:r>
      <w:r/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Цель приказа: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Утверждение типовых положений для различных типов детских лагерей и оздоровительных организаций, регулирующих их деятельность.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Типы лагерей, охваченных приказом: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Организации отдыха детей сезонного или круглогодичного действия (загородные лагеря, оздоровительные центры).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Лагеря при образовательных учреждениях (с дневным или круглосуточным пребыванием).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Лагеря труда и отдыха.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Палаточные лагеря.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Специализированные (профильные) лагеря (спортивные, тематические и др.).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Ключевые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Возраст детей: от 6 лет 6 месяцев до 17 лет (для школьных лагерей) и от 7 до 17 лет для других типов.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Медицинские аспекты: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Дети принимаются только при отсутствии медицинских противопоказаний.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Обязательные медосмотры для персонала.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Безопасность: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Инструктаж сотрудников по технике безопасности, пожарной и антитеррористической защите25.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Соответствие санитарным нормам (СанПиН) и требованиям МЧС.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Инфраструктура: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4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Доступность для детей с ограниченными возможностями.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4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Наличие медицинского пункта и условий для хранения лекарств.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Основные задачи организаций: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Обеспечение отдыха, оздоровления и развития детей.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Проведение культурно-досуговых, спортивных и образовательных мероприятий.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6"/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Профориентация и социализация детей.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Правовая база: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Приказ основан на Федеральном законе № 124-ФЗ «Об основных гарантиях прав ребенка в РФ».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Действие не распространяется на санаторные лагеря круглогодичного действия (регулируются Минздравом).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  <w:style w:type="character" w:styleId="633">
    <w:name w:val="FollowedHyperlink"/>
    <w:basedOn w:val="60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publication.pravo.gov.ru/Document/View/000120170802000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2025-06-20T01:34:00Z</dcterms:created>
  <dcterms:modified xsi:type="dcterms:W3CDTF">2025-07-30T05:35:08Z</dcterms:modified>
</cp:coreProperties>
</file>