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Запрос:</w:t>
      </w:r>
      <w:r/>
    </w:p>
    <w:p>
      <w:pPr>
        <w:ind w:firstLine="709"/>
        <w:jc w:val="both"/>
        <w:spacing w:lineRule="auto" w:line="27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Профилактика деструктивного поведения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  <w:hyperlink r:id="rId10" w:tooltip="https://normativ.kontur.ru/document?moduleId=1&amp;documentId=490994" w:history="1"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  <w:t xml:space="preserve">Федеральный закон от 29.12.2012 № 273-ФЗ "Об образовании в Российской Федерации"</w:t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</w:hyperlink>
      <w:r/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  <w:hyperlink r:id="rId11" w:tooltip="https://normativ.kontur.ru/document?moduleId=1&amp;documentId=492334" w:history="1"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  <w:t xml:space="preserve">Федеральный закон от 24.06.1999 № 120-ФЗ "Об основах системы профилактики безнадзорности и правонарушений несовершеннолетних"</w:t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</w:hyperlink>
      <w:r/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  <w:hyperlink r:id="rId12" w:tooltip="https://base.garant.ru/401425792/" w:history="1"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  <w:t xml:space="preserve">Стратегия национальной безопасности Российской Федерации (утв. Указом Президента РФ от 02.07.2021 № 400)</w:t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</w:hyperlink>
      <w:r/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  <w:hyperlink r:id="rId13" w:tooltip="https://docs.cntd.ru/document/1301109385" w:history="1"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  <w:t xml:space="preserve">Концепция развития психологической службы в системе образования в РФ на период до 2025 года</w:t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</w:hyperlink>
      <w:r/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  <w:hyperlink r:id="rId14" w:tooltip="https://edu.gov.ru/activity/main_activities/child-protection/prevention-of-deviant-behavior/" w:history="1"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  <w:t xml:space="preserve">Методические рекомендации Минпросвещения России по профилактике девиантного поведения</w:t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  <w:r>
          <w:rPr>
            <w:rStyle w:val="675"/>
            <w:rFonts w:ascii="Times New Roman" w:hAnsi="Times New Roman" w:cs="Times New Roman"/>
            <w:b w:val="false"/>
            <w:bCs/>
            <w:sz w:val="28"/>
            <w:szCs w:val="28"/>
            <w:highlight w:val="none"/>
          </w:rPr>
        </w:r>
      </w:hyperlink>
      <w:r/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r/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В России профилактика деструктивного поведения несовершеннолетних в школах регулируется комплексом нормативных актов, концепций и методических рекомендаций. Вот ключевые документы и меры: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Федеральная нормативная база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Концепция развития системы профилактики безнадзорности и правонарушений несовершеннолетних до 2025 года (Распоряжение Правительства РФ от 22.03.2017 № 520-р).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24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Включает меры по раннему выявлению девиантного поведения (алкоголизм, наркомания, суицидальные риски, интернет-зависимость и др.).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24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Предусматривает развитие служб медиации, правовое просвещение, вовлечение подростков в социальные проекты.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Федеральный закон от 24.06.1999 № 120-ФЗ «Об основах системы профилактики безнадзорности и правонарушений несовершеннолетних».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25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Регламентирует межведомственное взаимодействие школ, комиссий по делам несовершеннолетних, органов опеки и правоохранительных структур.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Стратегия государственной антинаркотической политики до 2030 года (Указ Президента № 733 от 23.11.2020).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26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Включает профилактику наркопотребления через образовательные программы и соцрекламу.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Комплекс мер по профилактике суицидов среди несовершеннолетних (Распоряжение Правительства РФ от 26.04.2021 № 1058-р).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27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Предусматривает мониторинг интернет-контента, обучение педагогов и создание позитивной информационной среды.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Федеральный закон от 29.12.2010 № 436-ФЗ «О защите детей от вредной информации».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28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Ограничивает доступ к контенту, пропагандирующему насилие, суициды и наркотики.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  <w:rPr>
          <w:rFonts w:ascii="Times New Roman" w:hAnsi="Times New Roman" w:cs="Times New Roman"/>
          <w:sz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Региональные и ведомственные документы.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Методические рекомендации Минпросвещения и Минздрава: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29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Социально-психологическое тестирование обучающихся (Приказ Минобрнауки от 16.06.2014 № 658).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Алгоритмы выявления деструктивного поведения для педагогов и родителей.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Ключевые направления работы в школах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Социально-психологическое сопровождение: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30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Работа педагогов-психологов, служб медиации.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Правовое просвещение: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31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Программы по формированию законопослушного поведения.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Профилактика интернет-рисков: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32"/>
        </w:numPr>
        <w:ind w:right="-1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Обучение кибербезопасности, блокировка опасного контента.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  <w:t xml:space="preserve">Вовлечение в позитивную деятельность: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8"/>
        <w:numPr>
          <w:ilvl w:val="0"/>
          <w:numId w:val="33"/>
        </w:numPr>
        <w:ind w:right="-1"/>
        <w:jc w:val="both"/>
        <w:spacing w:lineRule="auto" w:line="240" w:after="0"/>
        <w:shd w:val="clear" w:fill="FFFFFF" w:color="FFFFFF"/>
        <w:rPr>
          <w:rFonts w:ascii="Times New Roman" w:hAnsi="Times New Roman" w:cs="Times New Roman"/>
          <w:sz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Волонтерство, спорт, творческие проекты.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0"/>
        <w:jc w:val="both"/>
        <w:spacing w:lineRule="auto" w:line="240" w:after="0"/>
        <w:shd w:val="clear" w:fill="FFFFFF" w:color="FFFFFF"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right="-1" w:firstLine="709"/>
        <w:jc w:val="both"/>
        <w:spacing w:lineRule="auto" w:line="240" w:after="0"/>
        <w:shd w:val="clear" w:fill="FFFFFF" w:color="FFFFFF"/>
        <w:rPr>
          <w:rFonts w:ascii="Times New Roman" w:hAnsi="Times New Roman" w:cs="Times New Roman"/>
          <w:sz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Актуальные изменения: В 2024–2025 годах усилена работа по созданию позитивного контента в соцсетях и обучению педагогов цифровой грамотности.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right="-1" w:firstLine="709"/>
        <w:jc w:val="both"/>
        <w:spacing w:lineRule="auto" w:line="240" w:after="0"/>
        <w:shd w:val="clear" w:fill="FFFFFF" w:color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85" w:hanging="309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1">
      <w:start w:val="1"/>
      <w:numFmt w:val="decimal"/>
      <w:isLgl w:val="false"/>
      <w:suff w:val="tab"/>
      <w:lvlText w:val="%2)"/>
      <w:lvlJc w:val="left"/>
      <w:pPr>
        <w:ind w:left="1211" w:hanging="360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02" w:hanging="360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185" w:hanging="360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168" w:hanging="360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150" w:hanging="360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133" w:hanging="360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116" w:hanging="360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098" w:hanging="360"/>
      </w:pPr>
      <w:rPr>
        <w:rFonts w:hint="default"/>
        <w:lang w:val="ru-RU" w:bidi="ar-SA" w:eastAsia="en-U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0" w:hanging="425"/>
      </w:pPr>
      <w:rPr>
        <w:rFonts w:ascii="Symbol" w:hAnsi="Symbol" w:cs="Symbol" w:eastAsia="Symbol" w:hint="default"/>
        <w:b w:val="false"/>
        <w:bCs w:val="false"/>
        <w:i w:val="false"/>
        <w:iCs w:val="false"/>
        <w:spacing w:val="0"/>
        <w:sz w:val="24"/>
        <w:szCs w:val="24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1173" w:hanging="425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07" w:hanging="425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41" w:hanging="425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275" w:hanging="425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309" w:hanging="425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342" w:hanging="425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376" w:hanging="425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410" w:hanging="425"/>
      </w:pPr>
      <w:rPr>
        <w:rFonts w:hint="default"/>
        <w:lang w:val="ru-RU" w:bidi="ar-SA" w:eastAsia="en-U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85" w:hanging="850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"/>
      <w:lvlJc w:val="left"/>
      <w:pPr>
        <w:ind w:left="285" w:hanging="142"/>
      </w:pPr>
      <w:rPr>
        <w:rFonts w:ascii="Symbol" w:hAnsi="Symbol" w:cs="Symbol" w:eastAsia="Symbol" w:hint="default"/>
        <w:b w:val="false"/>
        <w:bCs w:val="false"/>
        <w:i w:val="false"/>
        <w:iCs w:val="false"/>
        <w:spacing w:val="12"/>
        <w:sz w:val="26"/>
        <w:szCs w:val="26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36" w:hanging="142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15" w:hanging="142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193" w:hanging="142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172" w:hanging="142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150" w:hanging="142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129" w:hanging="142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107" w:hanging="142"/>
      </w:pPr>
      <w:rPr>
        <w:rFonts w:hint="default"/>
        <w:lang w:val="ru-RU" w:bidi="ar-SA" w:eastAsia="en-US"/>
      </w:rPr>
    </w:lvl>
  </w:abstractNum>
  <w:abstractNum w:abstractNumId="4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40" w:hanging="425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4"/>
        <w:szCs w:val="24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1173" w:hanging="425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07" w:hanging="425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41" w:hanging="425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275" w:hanging="425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309" w:hanging="425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342" w:hanging="425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376" w:hanging="425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410" w:hanging="425"/>
      </w:pPr>
      <w:rPr>
        <w:rFonts w:hint="default"/>
        <w:lang w:val="ru-RU" w:bidi="ar-SA" w:eastAsia="en-U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0" w:hanging="286"/>
      </w:pPr>
      <w:rPr>
        <w:rFonts w:ascii="Symbol" w:hAnsi="Symbol" w:cs="Symbol" w:eastAsia="Symbol" w:hint="default"/>
        <w:spacing w:val="0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1173" w:hanging="286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07" w:hanging="286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41" w:hanging="286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275" w:hanging="286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309" w:hanging="286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342" w:hanging="286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376" w:hanging="286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410" w:hanging="286"/>
      </w:pPr>
      <w:rPr>
        <w:rFonts w:hint="default"/>
        <w:lang w:val="ru-RU" w:bidi="ar-SA" w:eastAsia="en-U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0" w:hanging="425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4"/>
        <w:szCs w:val="24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1173" w:hanging="425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07" w:hanging="425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41" w:hanging="425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275" w:hanging="425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309" w:hanging="425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342" w:hanging="425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376" w:hanging="425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410" w:hanging="425"/>
      </w:pPr>
      <w:rPr>
        <w:rFonts w:hint="default"/>
        <w:lang w:val="ru-RU" w:bidi="ar-SA" w:eastAsia="en-U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0" w:hanging="286"/>
      </w:pPr>
      <w:rPr>
        <w:rFonts w:ascii="Symbol" w:hAnsi="Symbol" w:cs="Symbol" w:eastAsia="Symbol" w:hint="default"/>
        <w:spacing w:val="0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1173" w:hanging="286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07" w:hanging="286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41" w:hanging="286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275" w:hanging="286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309" w:hanging="286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342" w:hanging="286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376" w:hanging="286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410" w:hanging="286"/>
      </w:pPr>
      <w:rPr>
        <w:rFonts w:hint="default"/>
        <w:lang w:val="ru-RU" w:bidi="ar-SA" w:eastAsia="en-U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285" w:hanging="396"/>
      </w:pPr>
      <w:rPr>
        <w:rFonts w:ascii="Times New Roman" w:hAnsi="Times New Roman" w:cs="Times New Roman" w:eastAsia="Times New Roman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-"/>
      <w:lvlJc w:val="left"/>
      <w:pPr>
        <w:ind w:left="285" w:hanging="164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36" w:hanging="164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15" w:hanging="164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193" w:hanging="164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172" w:hanging="164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150" w:hanging="164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129" w:hanging="164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107" w:hanging="164"/>
      </w:pPr>
      <w:rPr>
        <w:rFonts w:hint="default"/>
        <w:lang w:val="ru-RU" w:bidi="ar-SA" w:eastAsia="en-U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6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4" w:hanging="425"/>
      </w:pPr>
      <w:rPr>
        <w:rFonts w:ascii="Times New Roman" w:hAnsi="Times New Roman" w:cs="Times New Roman" w:eastAsia="Times New Roman" w:hint="default"/>
        <w:b/>
        <w:bCs/>
        <w:i w:val="false"/>
        <w:iCs w:val="false"/>
        <w:spacing w:val="0"/>
        <w:sz w:val="24"/>
        <w:szCs w:val="24"/>
        <w:lang w:val="ru-RU" w:bidi="ar-SA" w:eastAsia="en-US"/>
      </w:rPr>
    </w:lvl>
    <w:lvl w:ilvl="1">
      <w:start w:val="1"/>
      <w:numFmt w:val="decimal"/>
      <w:isLgl w:val="false"/>
      <w:suff w:val="tab"/>
      <w:lvlText w:val="%1.%2."/>
      <w:lvlJc w:val="left"/>
      <w:pPr>
        <w:ind w:left="1274" w:hanging="425"/>
      </w:pPr>
      <w:rPr>
        <w:rFonts w:ascii="Times New Roman" w:hAnsi="Times New Roman" w:cs="Times New Roman" w:eastAsia="Times New Roman" w:hint="default"/>
        <w:b/>
        <w:bCs/>
        <w:i/>
        <w:iCs/>
        <w:spacing w:val="0"/>
        <w:sz w:val="24"/>
        <w:szCs w:val="24"/>
        <w:lang w:val="ru-RU" w:bidi="ar-SA" w:eastAsia="en-US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57" w:hanging="708"/>
      </w:pPr>
      <w:rPr>
        <w:rFonts w:ascii="Times New Roman" w:hAnsi="Times New Roman" w:cs="Times New Roman" w:eastAsia="Times New Roman" w:hint="default"/>
        <w:b/>
        <w:bCs/>
        <w:i/>
        <w:iCs/>
        <w:spacing w:val="0"/>
        <w:sz w:val="24"/>
        <w:szCs w:val="24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140" w:hanging="286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3789" w:hanging="286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4904" w:hanging="286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019" w:hanging="286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133" w:hanging="286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248" w:hanging="286"/>
      </w:pPr>
      <w:rPr>
        <w:rFonts w:hint="default"/>
        <w:lang w:val="ru-RU" w:bidi="ar-SA" w:eastAsia="en-U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778" w:hanging="360"/>
      </w:pPr>
      <w:rPr>
        <w:rFonts w:hint="default"/>
        <w:b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68" w:hanging="320"/>
      </w:pPr>
      <w:rPr>
        <w:rFonts w:ascii="Times New Roman" w:hAnsi="Times New Roman" w:cs="Times New Roman" w:eastAsia="Times New Roman" w:hint="default"/>
        <w:b/>
        <w:bCs/>
        <w:i/>
        <w:iCs/>
        <w:spacing w:val="0"/>
        <w:sz w:val="24"/>
        <w:szCs w:val="24"/>
        <w:lang w:val="ru-RU" w:bidi="ar-SA" w:eastAsia="en-US"/>
      </w:rPr>
    </w:lvl>
    <w:lvl w:ilvl="1">
      <w:start w:val="1"/>
      <w:numFmt w:val="bullet"/>
      <w:isLgl w:val="false"/>
      <w:suff w:val="tab"/>
      <w:lvlText w:val=""/>
      <w:lvlJc w:val="left"/>
      <w:pPr>
        <w:ind w:left="140" w:hanging="320"/>
      </w:pPr>
      <w:rPr>
        <w:rFonts w:ascii="Symbol" w:hAnsi="Symbol" w:cs="Symbol" w:eastAsia="Symbol" w:hint="default"/>
        <w:b w:val="false"/>
        <w:bCs w:val="false"/>
        <w:i w:val="false"/>
        <w:iCs w:val="false"/>
        <w:spacing w:val="0"/>
        <w:sz w:val="24"/>
        <w:szCs w:val="24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195" w:hanging="320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30" w:hanging="320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266" w:hanging="320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301" w:hanging="320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336" w:hanging="320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372" w:hanging="320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407" w:hanging="320"/>
      </w:pPr>
      <w:rPr>
        <w:rFonts w:hint="default"/>
        <w:lang w:val="ru-RU" w:bidi="ar-SA" w:eastAsia="en-U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85" w:hanging="850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1258" w:hanging="850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36" w:hanging="850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15" w:hanging="850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193" w:hanging="850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172" w:hanging="850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150" w:hanging="850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129" w:hanging="850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107" w:hanging="850"/>
      </w:pPr>
      <w:rPr>
        <w:rFonts w:hint="default"/>
        <w:lang w:val="ru-RU" w:bidi="ar-SA" w:eastAsia="en-U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0" w:hanging="286"/>
      </w:pPr>
      <w:rPr>
        <w:rFonts w:ascii="Symbol" w:hAnsi="Symbol" w:cs="Symbol" w:eastAsia="Symbol" w:hint="default"/>
        <w:b w:val="false"/>
        <w:bCs w:val="false"/>
        <w:i w:val="false"/>
        <w:iCs w:val="false"/>
        <w:spacing w:val="0"/>
        <w:sz w:val="24"/>
        <w:szCs w:val="24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1173" w:hanging="286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07" w:hanging="286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41" w:hanging="286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275" w:hanging="286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309" w:hanging="286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342" w:hanging="286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376" w:hanging="286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410" w:hanging="286"/>
      </w:pPr>
      <w:rPr>
        <w:rFonts w:hint="default"/>
        <w:lang w:val="ru-RU" w:bidi="ar-SA" w:eastAsia="en-U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85" w:hanging="850"/>
      </w:pPr>
      <w:rPr>
        <w:rFonts w:ascii="Times New Roman" w:hAnsi="Times New Roman" w:cs="Times New Roman" w:eastAsia="Times New Roman" w:hint="default"/>
        <w:b w:val="false"/>
        <w:bCs w:val="false"/>
        <w:i w:val="false"/>
        <w:iCs w:val="false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"/>
      <w:lvlJc w:val="left"/>
      <w:pPr>
        <w:ind w:left="285" w:hanging="142"/>
      </w:pPr>
      <w:rPr>
        <w:rFonts w:ascii="Symbol" w:hAnsi="Symbol" w:cs="Symbol" w:eastAsia="Symbol" w:hint="default"/>
        <w:b w:val="false"/>
        <w:bCs w:val="false"/>
        <w:i w:val="false"/>
        <w:iCs w:val="false"/>
        <w:spacing w:val="12"/>
        <w:sz w:val="26"/>
        <w:szCs w:val="26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236" w:hanging="142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3215" w:hanging="142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4193" w:hanging="142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5172" w:hanging="142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6150" w:hanging="142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7129" w:hanging="142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8107" w:hanging="142"/>
      </w:pPr>
      <w:rPr>
        <w:rFonts w:hint="default"/>
        <w:lang w:val="ru-RU" w:bidi="ar-SA" w:eastAsia="en-U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  <w:color w:val="333333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  <w:color w:val="333333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  <w:color w:val="333333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  <w:color w:val="333333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  <w:color w:val="333333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  <w:color w:val="333333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  <w:color w:val="333333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  <w:color w:val="333333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  <w:color w:val="333333"/>
        <w:sz w:val="24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ascii="Wingdings" w:hAnsi="Wingdings" w:cs="Wingdings" w:eastAsia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ascii="Arial" w:hAnsi="Arial" w:cs="Arial" w:eastAsia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num w:numId="1">
    <w:abstractNumId w:val="19"/>
  </w:num>
  <w:num w:numId="2">
    <w:abstractNumId w:val="8"/>
  </w:num>
  <w:num w:numId="3">
    <w:abstractNumId w:val="11"/>
  </w:num>
  <w:num w:numId="4">
    <w:abstractNumId w:val="7"/>
  </w:num>
  <w:num w:numId="5">
    <w:abstractNumId w:val="15"/>
  </w:num>
  <w:num w:numId="6">
    <w:abstractNumId w:val="1"/>
  </w:num>
  <w:num w:numId="7">
    <w:abstractNumId w:val="10"/>
  </w:num>
  <w:num w:numId="8">
    <w:abstractNumId w:val="9"/>
  </w:num>
  <w:num w:numId="9">
    <w:abstractNumId w:val="17"/>
  </w:num>
  <w:num w:numId="10">
    <w:abstractNumId w:val="16"/>
  </w:num>
  <w:num w:numId="11">
    <w:abstractNumId w:val="4"/>
  </w:num>
  <w:num w:numId="12">
    <w:abstractNumId w:val="5"/>
  </w:num>
  <w:num w:numId="13">
    <w:abstractNumId w:val="14"/>
  </w:num>
  <w:num w:numId="14">
    <w:abstractNumId w:val="12"/>
  </w:num>
  <w:num w:numId="15">
    <w:abstractNumId w:val="0"/>
  </w:num>
  <w:num w:numId="16">
    <w:abstractNumId w:val="13"/>
  </w:num>
  <w:num w:numId="17">
    <w:abstractNumId w:val="2"/>
  </w:num>
  <w:num w:numId="18">
    <w:abstractNumId w:val="6"/>
  </w:num>
  <w:num w:numId="19">
    <w:abstractNumId w:val="18"/>
  </w:num>
  <w:num w:numId="20">
    <w:abstractNumId w:val="20"/>
  </w:num>
  <w:num w:numId="21">
    <w:abstractNumId w:val="3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50"/>
    <w:link w:val="64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50"/>
    <w:link w:val="64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50"/>
    <w:link w:val="643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50"/>
    <w:link w:val="644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50"/>
    <w:link w:val="645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50"/>
    <w:link w:val="646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50"/>
    <w:link w:val="647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50"/>
    <w:link w:val="648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50"/>
    <w:link w:val="649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50"/>
    <w:link w:val="662"/>
    <w:uiPriority w:val="10"/>
    <w:rPr>
      <w:sz w:val="48"/>
      <w:szCs w:val="48"/>
    </w:rPr>
  </w:style>
  <w:style w:type="character" w:styleId="35">
    <w:name w:val="Subtitle Char"/>
    <w:basedOn w:val="650"/>
    <w:link w:val="664"/>
    <w:uiPriority w:val="11"/>
    <w:rPr>
      <w:sz w:val="24"/>
      <w:szCs w:val="24"/>
    </w:rPr>
  </w:style>
  <w:style w:type="character" w:styleId="37">
    <w:name w:val="Quote Char"/>
    <w:link w:val="666"/>
    <w:uiPriority w:val="29"/>
    <w:rPr>
      <w:i/>
    </w:rPr>
  </w:style>
  <w:style w:type="character" w:styleId="39">
    <w:name w:val="Intense Quote Char"/>
    <w:link w:val="670"/>
    <w:uiPriority w:val="30"/>
    <w:rPr>
      <w:i/>
    </w:rPr>
  </w:style>
  <w:style w:type="paragraph" w:styleId="40">
    <w:name w:val="Header"/>
    <w:basedOn w:val="640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50"/>
    <w:link w:val="40"/>
    <w:uiPriority w:val="99"/>
  </w:style>
  <w:style w:type="paragraph" w:styleId="42">
    <w:name w:val="Footer"/>
    <w:basedOn w:val="640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50"/>
    <w:link w:val="42"/>
    <w:uiPriority w:val="99"/>
  </w:style>
  <w:style w:type="paragraph" w:styleId="44">
    <w:name w:val="Caption"/>
    <w:basedOn w:val="640"/>
    <w:next w:val="640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51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5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5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51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5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5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5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5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5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5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5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5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5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40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50"/>
    <w:uiPriority w:val="99"/>
    <w:unhideWhenUsed/>
    <w:rPr>
      <w:vertAlign w:val="superscript"/>
    </w:rPr>
  </w:style>
  <w:style w:type="paragraph" w:styleId="176">
    <w:name w:val="endnote text"/>
    <w:basedOn w:val="640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50"/>
    <w:uiPriority w:val="99"/>
    <w:semiHidden/>
    <w:unhideWhenUsed/>
    <w:rPr>
      <w:vertAlign w:val="superscript"/>
    </w:rPr>
  </w:style>
  <w:style w:type="paragraph" w:styleId="179">
    <w:name w:val="toc 1"/>
    <w:basedOn w:val="640"/>
    <w:next w:val="640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40"/>
    <w:next w:val="640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40"/>
    <w:next w:val="640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40"/>
    <w:next w:val="640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40"/>
    <w:next w:val="640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40"/>
    <w:next w:val="640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40"/>
    <w:next w:val="640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40"/>
    <w:next w:val="640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40"/>
    <w:next w:val="640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40"/>
    <w:next w:val="640"/>
    <w:uiPriority w:val="99"/>
    <w:unhideWhenUsed/>
    <w:pPr>
      <w:spacing w:after="0" w:afterAutospacing="0"/>
    </w:pPr>
  </w:style>
  <w:style w:type="paragraph" w:styleId="640" w:default="1">
    <w:name w:val="Normal"/>
    <w:qFormat/>
  </w:style>
  <w:style w:type="paragraph" w:styleId="641">
    <w:name w:val="Heading 1"/>
    <w:basedOn w:val="640"/>
    <w:next w:val="640"/>
    <w:link w:val="653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42">
    <w:name w:val="Heading 2"/>
    <w:basedOn w:val="640"/>
    <w:next w:val="640"/>
    <w:link w:val="654"/>
    <w:qFormat/>
    <w:uiPriority w:val="9"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43">
    <w:name w:val="Heading 3"/>
    <w:basedOn w:val="640"/>
    <w:next w:val="640"/>
    <w:link w:val="655"/>
    <w:qFormat/>
    <w:uiPriority w:val="9"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44">
    <w:name w:val="Heading 4"/>
    <w:basedOn w:val="640"/>
    <w:next w:val="640"/>
    <w:link w:val="656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45">
    <w:name w:val="Heading 5"/>
    <w:basedOn w:val="640"/>
    <w:next w:val="640"/>
    <w:link w:val="657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46">
    <w:name w:val="Heading 6"/>
    <w:basedOn w:val="640"/>
    <w:next w:val="640"/>
    <w:link w:val="658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47">
    <w:name w:val="Heading 7"/>
    <w:basedOn w:val="640"/>
    <w:next w:val="640"/>
    <w:link w:val="659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48">
    <w:name w:val="Heading 8"/>
    <w:basedOn w:val="640"/>
    <w:next w:val="640"/>
    <w:link w:val="660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49">
    <w:name w:val="Heading 9"/>
    <w:basedOn w:val="640"/>
    <w:next w:val="640"/>
    <w:link w:val="661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50" w:default="1">
    <w:name w:val="Default Paragraph Font"/>
    <w:uiPriority w:val="1"/>
    <w:unhideWhenUsed/>
  </w:style>
  <w:style w:type="table" w:styleId="6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2" w:default="1">
    <w:name w:val="No List"/>
    <w:uiPriority w:val="99"/>
    <w:semiHidden/>
    <w:unhideWhenUsed/>
  </w:style>
  <w:style w:type="character" w:styleId="653" w:customStyle="1">
    <w:name w:val="Заголовок 1 Знак"/>
    <w:basedOn w:val="650"/>
    <w:link w:val="641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54" w:customStyle="1">
    <w:name w:val="Заголовок 2 Знак"/>
    <w:basedOn w:val="650"/>
    <w:link w:val="642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55" w:customStyle="1">
    <w:name w:val="Заголовок 3 Знак"/>
    <w:basedOn w:val="650"/>
    <w:link w:val="643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56" w:customStyle="1">
    <w:name w:val="Заголовок 4 Знак"/>
    <w:basedOn w:val="650"/>
    <w:link w:val="644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57" w:customStyle="1">
    <w:name w:val="Заголовок 5 Знак"/>
    <w:basedOn w:val="650"/>
    <w:link w:val="645"/>
    <w:uiPriority w:val="9"/>
    <w:semiHidden/>
    <w:rPr>
      <w:rFonts w:cs="Calibri Light" w:eastAsia="Calibri Light"/>
      <w:color w:val="2F5496" w:themeColor="accent1" w:themeShade="BF"/>
    </w:rPr>
  </w:style>
  <w:style w:type="character" w:styleId="658" w:customStyle="1">
    <w:name w:val="Заголовок 6 Знак"/>
    <w:basedOn w:val="650"/>
    <w:link w:val="646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59" w:customStyle="1">
    <w:name w:val="Заголовок 7 Знак"/>
    <w:basedOn w:val="650"/>
    <w:link w:val="647"/>
    <w:uiPriority w:val="9"/>
    <w:semiHidden/>
    <w:rPr>
      <w:rFonts w:cs="Calibri Light" w:eastAsia="Calibri Light"/>
      <w:color w:val="595959" w:themeColor="text1" w:themeTint="A6"/>
    </w:rPr>
  </w:style>
  <w:style w:type="character" w:styleId="660" w:customStyle="1">
    <w:name w:val="Заголовок 8 Знак"/>
    <w:basedOn w:val="650"/>
    <w:link w:val="648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61" w:customStyle="1">
    <w:name w:val="Заголовок 9 Знак"/>
    <w:basedOn w:val="650"/>
    <w:link w:val="649"/>
    <w:uiPriority w:val="9"/>
    <w:semiHidden/>
    <w:rPr>
      <w:rFonts w:cs="Calibri Light" w:eastAsia="Calibri Light"/>
      <w:color w:val="272727" w:themeColor="text1" w:themeTint="D8"/>
    </w:rPr>
  </w:style>
  <w:style w:type="paragraph" w:styleId="662">
    <w:name w:val="Title"/>
    <w:basedOn w:val="640"/>
    <w:next w:val="640"/>
    <w:link w:val="663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63" w:customStyle="1">
    <w:name w:val="Заголовок Знак"/>
    <w:basedOn w:val="650"/>
    <w:link w:val="662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64">
    <w:name w:val="Subtitle"/>
    <w:basedOn w:val="640"/>
    <w:next w:val="640"/>
    <w:link w:val="665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65" w:customStyle="1">
    <w:name w:val="Подзаголовок Знак"/>
    <w:basedOn w:val="650"/>
    <w:link w:val="664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66">
    <w:name w:val="Quote"/>
    <w:basedOn w:val="640"/>
    <w:next w:val="640"/>
    <w:link w:val="667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67" w:customStyle="1">
    <w:name w:val="Цитата 2 Знак"/>
    <w:basedOn w:val="650"/>
    <w:link w:val="666"/>
    <w:uiPriority w:val="29"/>
    <w:rPr>
      <w:i/>
      <w:iCs/>
      <w:color w:val="404040" w:themeColor="text1" w:themeTint="BF"/>
    </w:rPr>
  </w:style>
  <w:style w:type="paragraph" w:styleId="668">
    <w:name w:val="List Paragraph"/>
    <w:basedOn w:val="640"/>
    <w:qFormat/>
    <w:uiPriority w:val="1"/>
    <w:pPr>
      <w:contextualSpacing w:val="true"/>
      <w:ind w:left="720"/>
    </w:pPr>
  </w:style>
  <w:style w:type="character" w:styleId="669">
    <w:name w:val="Intense Emphasis"/>
    <w:basedOn w:val="650"/>
    <w:qFormat/>
    <w:uiPriority w:val="21"/>
    <w:rPr>
      <w:i/>
      <w:iCs/>
      <w:color w:val="2F5496" w:themeColor="accent1" w:themeShade="BF"/>
    </w:rPr>
  </w:style>
  <w:style w:type="paragraph" w:styleId="670">
    <w:name w:val="Intense Quote"/>
    <w:basedOn w:val="640"/>
    <w:next w:val="640"/>
    <w:link w:val="671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71" w:customStyle="1">
    <w:name w:val="Выделенная цитата Знак"/>
    <w:basedOn w:val="650"/>
    <w:link w:val="670"/>
    <w:uiPriority w:val="30"/>
    <w:rPr>
      <w:i/>
      <w:iCs/>
      <w:color w:val="2F5496" w:themeColor="accent1" w:themeShade="BF"/>
    </w:rPr>
  </w:style>
  <w:style w:type="character" w:styleId="672">
    <w:name w:val="Intense Reference"/>
    <w:basedOn w:val="650"/>
    <w:qFormat/>
    <w:uiPriority w:val="32"/>
    <w:rPr>
      <w:b/>
      <w:bCs/>
      <w:smallCaps/>
      <w:color w:val="2F5496" w:themeColor="accent1" w:themeShade="BF"/>
      <w:spacing w:val="5"/>
    </w:rPr>
  </w:style>
  <w:style w:type="paragraph" w:styleId="673">
    <w:name w:val="Body Text"/>
    <w:basedOn w:val="640"/>
    <w:link w:val="674"/>
    <w:qFormat/>
    <w:uiPriority w:val="1"/>
    <w:rPr>
      <w:rFonts w:ascii="Times New Roman" w:hAnsi="Times New Roman" w:cs="Times New Roman" w:eastAsia="Times New Roman"/>
      <w:sz w:val="24"/>
      <w:szCs w:val="24"/>
    </w:rPr>
    <w:pPr>
      <w:ind w:left="140" w:firstLine="708"/>
      <w:spacing w:lineRule="auto" w:line="240" w:after="0"/>
      <w:widowControl w:val="off"/>
    </w:pPr>
  </w:style>
  <w:style w:type="character" w:styleId="674" w:customStyle="1">
    <w:name w:val="Основной текст Знак"/>
    <w:basedOn w:val="650"/>
    <w:link w:val="673"/>
    <w:uiPriority w:val="1"/>
    <w:rPr>
      <w:rFonts w:ascii="Times New Roman" w:hAnsi="Times New Roman" w:cs="Times New Roman" w:eastAsia="Times New Roman"/>
      <w:sz w:val="24"/>
      <w:szCs w:val="24"/>
    </w:rPr>
  </w:style>
  <w:style w:type="character" w:styleId="675">
    <w:name w:val="Hyperlink"/>
    <w:basedOn w:val="650"/>
    <w:uiPriority w:val="99"/>
    <w:unhideWhenUsed/>
    <w:rPr>
      <w:color w:val="0563C1" w:themeColor="hyperlink"/>
      <w:u w:val="single"/>
    </w:rPr>
  </w:style>
  <w:style w:type="character" w:styleId="676">
    <w:name w:val="Unresolved Mention"/>
    <w:basedOn w:val="650"/>
    <w:uiPriority w:val="99"/>
    <w:semiHidden/>
    <w:unhideWhenUsed/>
    <w:rPr>
      <w:color w:val="605E5C"/>
      <w:shd w:val="clear" w:fill="E1DFDD" w:color="E1DFDD"/>
    </w:rPr>
  </w:style>
  <w:style w:type="character" w:styleId="677">
    <w:name w:val="FollowedHyperlink"/>
    <w:basedOn w:val="650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normativ.kontur.ru/document?moduleId=1&amp;documentId=490994" TargetMode="External"/><Relationship Id="rId11" Type="http://schemas.openxmlformats.org/officeDocument/2006/relationships/hyperlink" Target="https://normativ.kontur.ru/document?moduleId=1&amp;documentId=492334" TargetMode="External"/><Relationship Id="rId12" Type="http://schemas.openxmlformats.org/officeDocument/2006/relationships/hyperlink" Target="https://base.garant.ru/401425792/" TargetMode="External"/><Relationship Id="rId13" Type="http://schemas.openxmlformats.org/officeDocument/2006/relationships/hyperlink" Target="https://docs.cntd.ru/document/1301109385" TargetMode="External"/><Relationship Id="rId14" Type="http://schemas.openxmlformats.org/officeDocument/2006/relationships/hyperlink" Target="https://edu.gov.ru/activity/main_activities/child-protection/prevention-of-deviant-behavior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4</cp:revision>
  <dcterms:created xsi:type="dcterms:W3CDTF">2025-06-19T07:06:00Z</dcterms:created>
  <dcterms:modified xsi:type="dcterms:W3CDTF">2025-07-30T06:50:29Z</dcterms:modified>
</cp:coreProperties>
</file>