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 Market Entry Strategy</w:t>
      </w:r>
    </w:p>
    <w:p>
      <w:pPr>
        <w:jc w:val="center"/>
      </w:pPr>
      <w:r>
        <w:rPr>
          <w:color w:val="4472C4"/>
          <w:sz w:val="28"/>
        </w:rPr>
        <w:t>December 2025 Baseline Portfolio Deployment Plan</w:t>
      </w:r>
    </w:p>
    <w:p/>
    <w:p>
      <w:r>
        <w:rPr>
          <w:b/>
        </w:rPr>
        <w:t>Analysis Date:</w:t>
      </w:r>
      <w:r>
        <w:t xml:space="preserve"> December 28, 2025</w:t>
      </w:r>
    </w:p>
    <w:p>
      <w:r>
        <w:rPr>
          <w:b/>
        </w:rPr>
        <w:t>Portfolio Manager:</w:t>
      </w:r>
      <w:r>
        <w:t xml:space="preserve"> Market Risk Analytics Team</w:t>
      </w:r>
    </w:p>
    <w:p>
      <w:r>
        <w:rPr>
          <w:b/>
        </w:rPr>
        <w:t>Client:</w:t>
      </w:r>
      <w:r>
        <w:t xml:space="preserve"> Bob &amp; Susan</w:t>
      </w:r>
    </w:p>
    <w:p>
      <w:r>
        <w:rPr>
          <w:b/>
        </w:rPr>
        <w:t>Status:</w:t>
      </w:r>
      <w:r>
        <w:t xml:space="preserve"> FINAL - READY FOR EXECUTION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</w:rPr>
        <w:t>Total Capital to Deploy:</w:t>
      </w:r>
      <w:r>
        <w:t xml:space="preserve"> $3,958,400</w:t>
      </w:r>
    </w:p>
    <w:p>
      <w:r>
        <w:rPr>
          <w:b/>
        </w:rPr>
        <w:t>Deployment Method:</w:t>
      </w:r>
      <w:r>
        <w:t xml:space="preserve"> 6-Month Dollar Cost Averaging (DCA)</w:t>
      </w:r>
    </w:p>
    <w:p>
      <w:r>
        <w:rPr>
          <w:b/>
        </w:rPr>
        <w:t>Monthly Allocation:</w:t>
      </w:r>
      <w:r>
        <w:t xml:space="preserve"> $659,733 (January - June 2026)</w:t>
      </w:r>
    </w:p>
    <w:p>
      <w:r>
        <w:rPr>
          <w:b/>
        </w:rPr>
        <w:t>Expected Portfolio Value (2036):</w:t>
      </w:r>
      <w:r>
        <w:t xml:space="preserve"> $13.2M - $16.8M</w:t>
      </w:r>
    </w:p>
    <w:p>
      <w:r>
        <w:rPr>
          <w:b/>
        </w:rPr>
        <w:t>Implementation Risk Level:</w:t>
      </w:r>
      <w:r>
        <w:t xml:space="preserve"> MODERATE-LOW</w:t>
      </w:r>
    </w:p>
    <w:p/>
    <w:p>
      <w:r>
        <w:t>This strategy employs a disciplined 6-month DCA approach given elevated market valuations (82nd percentile P/E), extreme tail risk (SKEW 160.53), and 62% correction probability. DCA reduces timing risk while maintaining deployment discipline through market volatility.</w:t>
      </w:r>
    </w:p>
    <w:p>
      <w:r>
        <w:br w:type="page"/>
      </w:r>
    </w:p>
    <w:p>
      <w:pPr>
        <w:pStyle w:val="Heading1"/>
      </w:pPr>
      <w:r>
        <w:t>I. RECOMMENDATION: 6-Month Dollar Cost Averaging</w:t>
      </w:r>
    </w:p>
    <w:p>
      <w:r>
        <w:rPr>
          <w:b/>
        </w:rPr>
        <w:t xml:space="preserve">Selected Method: </w:t>
      </w:r>
      <w:r>
        <w:t>Dollar Cost Averaging (DCA) - $659,733 monthly</w:t>
      </w:r>
    </w:p>
    <w:p>
      <w:r>
        <w:rPr>
          <w:b/>
        </w:rPr>
        <w:t xml:space="preserve">Period: </w:t>
      </w:r>
      <w:r>
        <w:t>January 1 - June 30, 2026</w:t>
      </w:r>
    </w:p>
    <w:p/>
    <w:p>
      <w:pPr>
        <w:pStyle w:val="Heading2"/>
      </w:pPr>
      <w:r>
        <w:t>Monthly Deployment Schedule</w:t>
      </w:r>
    </w:p>
    <w:p>
      <w:r>
        <w:rPr>
          <w:b/>
        </w:rPr>
        <w:t>Base Monthly Allocation: $659,733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Month</w:t>
            </w:r>
          </w:p>
        </w:tc>
        <w:tc>
          <w:tcPr>
            <w:tcW w:type="dxa" w:w="2160"/>
          </w:tcPr>
          <w:p>
            <w:r>
              <w:t>Calendar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Cumulative</w:t>
            </w:r>
          </w:p>
        </w:tc>
      </w:tr>
      <w:tr>
        <w:tc>
          <w:tcPr>
            <w:tcW w:type="dxa" w:w="2160"/>
          </w:tcPr>
          <w:p>
            <w:r>
              <w:t>Month 1</w:t>
            </w:r>
          </w:p>
        </w:tc>
        <w:tc>
          <w:tcPr>
            <w:tcW w:type="dxa" w:w="2160"/>
          </w:tcPr>
          <w:p>
            <w:r>
              <w:t>January 2026</w:t>
            </w:r>
          </w:p>
        </w:tc>
        <w:tc>
          <w:tcPr>
            <w:tcW w:type="dxa" w:w="2160"/>
          </w:tcPr>
          <w:p>
            <w:r>
              <w:t>$659,733</w:t>
            </w:r>
          </w:p>
        </w:tc>
        <w:tc>
          <w:tcPr>
            <w:tcW w:type="dxa" w:w="2160"/>
          </w:tcPr>
          <w:p>
            <w:r>
              <w:t>$659,733</w:t>
            </w:r>
          </w:p>
        </w:tc>
      </w:tr>
      <w:tr>
        <w:tc>
          <w:tcPr>
            <w:tcW w:type="dxa" w:w="2160"/>
          </w:tcPr>
          <w:p>
            <w:r>
              <w:t>Month 2</w:t>
            </w:r>
          </w:p>
        </w:tc>
        <w:tc>
          <w:tcPr>
            <w:tcW w:type="dxa" w:w="2160"/>
          </w:tcPr>
          <w:p>
            <w:r>
              <w:t>February 2026</w:t>
            </w:r>
          </w:p>
        </w:tc>
        <w:tc>
          <w:tcPr>
            <w:tcW w:type="dxa" w:w="2160"/>
          </w:tcPr>
          <w:p>
            <w:r>
              <w:t>$659,733</w:t>
            </w:r>
          </w:p>
        </w:tc>
        <w:tc>
          <w:tcPr>
            <w:tcW w:type="dxa" w:w="2160"/>
          </w:tcPr>
          <w:p>
            <w:r>
              <w:t>$1,319,466</w:t>
            </w:r>
          </w:p>
        </w:tc>
      </w:tr>
      <w:tr>
        <w:tc>
          <w:tcPr>
            <w:tcW w:type="dxa" w:w="2160"/>
          </w:tcPr>
          <w:p>
            <w:r>
              <w:t>Month 3</w:t>
            </w:r>
          </w:p>
        </w:tc>
        <w:tc>
          <w:tcPr>
            <w:tcW w:type="dxa" w:w="2160"/>
          </w:tcPr>
          <w:p>
            <w:r>
              <w:t>March 2026</w:t>
            </w:r>
          </w:p>
        </w:tc>
        <w:tc>
          <w:tcPr>
            <w:tcW w:type="dxa" w:w="2160"/>
          </w:tcPr>
          <w:p>
            <w:r>
              <w:t>$659,733</w:t>
            </w:r>
          </w:p>
        </w:tc>
        <w:tc>
          <w:tcPr>
            <w:tcW w:type="dxa" w:w="2160"/>
          </w:tcPr>
          <w:p>
            <w:r>
              <w:t>$1,979,199</w:t>
            </w:r>
          </w:p>
        </w:tc>
      </w:tr>
      <w:tr>
        <w:tc>
          <w:tcPr>
            <w:tcW w:type="dxa" w:w="2160"/>
          </w:tcPr>
          <w:p>
            <w:r>
              <w:t>Month 4</w:t>
            </w:r>
          </w:p>
        </w:tc>
        <w:tc>
          <w:tcPr>
            <w:tcW w:type="dxa" w:w="2160"/>
          </w:tcPr>
          <w:p>
            <w:r>
              <w:t>April 2026</w:t>
            </w:r>
          </w:p>
        </w:tc>
        <w:tc>
          <w:tcPr>
            <w:tcW w:type="dxa" w:w="2160"/>
          </w:tcPr>
          <w:p>
            <w:r>
              <w:t>$659,733</w:t>
            </w:r>
          </w:p>
        </w:tc>
        <w:tc>
          <w:tcPr>
            <w:tcW w:type="dxa" w:w="2160"/>
          </w:tcPr>
          <w:p>
            <w:r>
              <w:t>$2,638,932</w:t>
            </w:r>
          </w:p>
        </w:tc>
      </w:tr>
      <w:tr>
        <w:tc>
          <w:tcPr>
            <w:tcW w:type="dxa" w:w="2160"/>
          </w:tcPr>
          <w:p>
            <w:r>
              <w:t>Month 5</w:t>
            </w:r>
          </w:p>
        </w:tc>
        <w:tc>
          <w:tcPr>
            <w:tcW w:type="dxa" w:w="2160"/>
          </w:tcPr>
          <w:p>
            <w:r>
              <w:t>May 2026</w:t>
            </w:r>
          </w:p>
        </w:tc>
        <w:tc>
          <w:tcPr>
            <w:tcW w:type="dxa" w:w="2160"/>
          </w:tcPr>
          <w:p>
            <w:r>
              <w:t>$659,733</w:t>
            </w:r>
          </w:p>
        </w:tc>
        <w:tc>
          <w:tcPr>
            <w:tcW w:type="dxa" w:w="2160"/>
          </w:tcPr>
          <w:p>
            <w:r>
              <w:t>$3,298,665</w:t>
            </w:r>
          </w:p>
        </w:tc>
      </w:tr>
      <w:tr>
        <w:tc>
          <w:tcPr>
            <w:tcW w:type="dxa" w:w="2160"/>
          </w:tcPr>
          <w:p>
            <w:r>
              <w:t>Month 6</w:t>
            </w:r>
          </w:p>
        </w:tc>
        <w:tc>
          <w:tcPr>
            <w:tcW w:type="dxa" w:w="2160"/>
          </w:tcPr>
          <w:p>
            <w:r>
              <w:t>June 2026</w:t>
            </w:r>
          </w:p>
        </w:tc>
        <w:tc>
          <w:tcPr>
            <w:tcW w:type="dxa" w:w="2160"/>
          </w:tcPr>
          <w:p>
            <w:r>
              <w:t>$659,733</w:t>
            </w:r>
          </w:p>
        </w:tc>
        <w:tc>
          <w:tcPr>
            <w:tcW w:type="dxa" w:w="2160"/>
          </w:tcPr>
          <w:p>
            <w:r>
              <w:t>$3,958,400</w:t>
            </w:r>
          </w:p>
        </w:tc>
      </w:tr>
    </w:tbl>
    <w:p>
      <w:r>
        <w:br w:type="page"/>
      </w:r>
    </w:p>
    <w:p>
      <w:pPr>
        <w:pStyle w:val="Heading1"/>
      </w:pPr>
      <w:r>
        <w:t>II. ACCOUNT-LEVEL MONTHLY ALLOCATIONS</w:t>
      </w:r>
    </w:p>
    <w:p>
      <w:pPr>
        <w:pStyle w:val="ListBullet"/>
      </w:pPr>
      <w:r>
        <w:t>Bob's Roth: 8.04% ($53,010/month)</w:t>
      </w:r>
    </w:p>
    <w:p>
      <w:pPr>
        <w:pStyle w:val="ListBullet"/>
      </w:pPr>
      <w:r>
        <w:t>Bob's Traditional: 32.84% ($216,606/month)</w:t>
      </w:r>
    </w:p>
    <w:p>
      <w:pPr>
        <w:pStyle w:val="ListBullet"/>
      </w:pPr>
      <w:r>
        <w:t>eTrade: 39.48% ($260,469/month)</w:t>
      </w:r>
    </w:p>
    <w:p>
      <w:pPr>
        <w:pStyle w:val="ListBullet"/>
      </w:pPr>
      <w:r>
        <w:t>Susan's Account: 19.69% ($129,848/month)</w:t>
      </w:r>
    </w:p>
    <w:p>
      <w:pPr>
        <w:pStyle w:val="ListBullet"/>
      </w:pPr>
      <w:r>
        <w:t>Wells Fargo: $0/month (REMAINS IN SGOV)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Account</w:t>
            </w:r>
          </w:p>
        </w:tc>
        <w:tc>
          <w:tcPr>
            <w:tcW w:type="dxa" w:w="1080"/>
          </w:tcPr>
          <w:p>
            <w:r>
              <w:t>Jan</w:t>
            </w:r>
          </w:p>
        </w:tc>
        <w:tc>
          <w:tcPr>
            <w:tcW w:type="dxa" w:w="1080"/>
          </w:tcPr>
          <w:p>
            <w:r>
              <w:t>Feb</w:t>
            </w:r>
          </w:p>
        </w:tc>
        <w:tc>
          <w:tcPr>
            <w:tcW w:type="dxa" w:w="1080"/>
          </w:tcPr>
          <w:p>
            <w:r>
              <w:t>Mar</w:t>
            </w:r>
          </w:p>
        </w:tc>
        <w:tc>
          <w:tcPr>
            <w:tcW w:type="dxa" w:w="1080"/>
          </w:tcPr>
          <w:p>
            <w:r>
              <w:t>Apr</w:t>
            </w:r>
          </w:p>
        </w:tc>
        <w:tc>
          <w:tcPr>
            <w:tcW w:type="dxa" w:w="1080"/>
          </w:tcPr>
          <w:p>
            <w:r>
              <w:t>May</w:t>
            </w:r>
          </w:p>
        </w:tc>
        <w:tc>
          <w:tcPr>
            <w:tcW w:type="dxa" w:w="1080"/>
          </w:tcPr>
          <w:p>
            <w:r>
              <w:t>Jun</w:t>
            </w:r>
          </w:p>
        </w:tc>
        <w:tc>
          <w:tcPr>
            <w:tcW w:type="dxa" w:w="1080"/>
          </w:tcPr>
          <w:p>
            <w:r>
              <w:t>Total</w:t>
            </w:r>
          </w:p>
        </w:tc>
      </w:tr>
      <w:tr>
        <w:tc>
          <w:tcPr>
            <w:tcW w:type="dxa" w:w="1080"/>
          </w:tcPr>
          <w:p>
            <w:r>
              <w:t>Bob's Roth</w:t>
            </w:r>
          </w:p>
        </w:tc>
        <w:tc>
          <w:tcPr>
            <w:tcW w:type="dxa" w:w="1080"/>
          </w:tcPr>
          <w:p>
            <w:r>
              <w:t>$53,010</w:t>
            </w:r>
          </w:p>
        </w:tc>
        <w:tc>
          <w:tcPr>
            <w:tcW w:type="dxa" w:w="1080"/>
          </w:tcPr>
          <w:p>
            <w:r>
              <w:t>$53,010</w:t>
            </w:r>
          </w:p>
        </w:tc>
        <w:tc>
          <w:tcPr>
            <w:tcW w:type="dxa" w:w="1080"/>
          </w:tcPr>
          <w:p>
            <w:r>
              <w:t>$53,010</w:t>
            </w:r>
          </w:p>
        </w:tc>
        <w:tc>
          <w:tcPr>
            <w:tcW w:type="dxa" w:w="1080"/>
          </w:tcPr>
          <w:p>
            <w:r>
              <w:t>$53,010</w:t>
            </w:r>
          </w:p>
        </w:tc>
        <w:tc>
          <w:tcPr>
            <w:tcW w:type="dxa" w:w="1080"/>
          </w:tcPr>
          <w:p>
            <w:r>
              <w:t>$53,010</w:t>
            </w:r>
          </w:p>
        </w:tc>
        <w:tc>
          <w:tcPr>
            <w:tcW w:type="dxa" w:w="1080"/>
          </w:tcPr>
          <w:p>
            <w:r>
              <w:t>$53,010</w:t>
            </w:r>
          </w:p>
        </w:tc>
        <w:tc>
          <w:tcPr>
            <w:tcW w:type="dxa" w:w="1080"/>
          </w:tcPr>
          <w:p>
            <w:r>
              <w:t>$318,060</w:t>
            </w:r>
          </w:p>
        </w:tc>
      </w:tr>
      <w:tr>
        <w:tc>
          <w:tcPr>
            <w:tcW w:type="dxa" w:w="1080"/>
          </w:tcPr>
          <w:p>
            <w:r>
              <w:t>Bob's Trad'l</w:t>
            </w:r>
          </w:p>
        </w:tc>
        <w:tc>
          <w:tcPr>
            <w:tcW w:type="dxa" w:w="1080"/>
          </w:tcPr>
          <w:p>
            <w:r>
              <w:t>$216,606</w:t>
            </w:r>
          </w:p>
        </w:tc>
        <w:tc>
          <w:tcPr>
            <w:tcW w:type="dxa" w:w="1080"/>
          </w:tcPr>
          <w:p>
            <w:r>
              <w:t>$216,606</w:t>
            </w:r>
          </w:p>
        </w:tc>
        <w:tc>
          <w:tcPr>
            <w:tcW w:type="dxa" w:w="1080"/>
          </w:tcPr>
          <w:p>
            <w:r>
              <w:t>$216,606</w:t>
            </w:r>
          </w:p>
        </w:tc>
        <w:tc>
          <w:tcPr>
            <w:tcW w:type="dxa" w:w="1080"/>
          </w:tcPr>
          <w:p>
            <w:r>
              <w:t>$216,606</w:t>
            </w:r>
          </w:p>
        </w:tc>
        <w:tc>
          <w:tcPr>
            <w:tcW w:type="dxa" w:w="1080"/>
          </w:tcPr>
          <w:p>
            <w:r>
              <w:t>$216,606</w:t>
            </w:r>
          </w:p>
        </w:tc>
        <w:tc>
          <w:tcPr>
            <w:tcW w:type="dxa" w:w="1080"/>
          </w:tcPr>
          <w:p>
            <w:r>
              <w:t>$216,606</w:t>
            </w:r>
          </w:p>
        </w:tc>
        <w:tc>
          <w:tcPr>
            <w:tcW w:type="dxa" w:w="1080"/>
          </w:tcPr>
          <w:p>
            <w:r>
              <w:t>$1,299,636</w:t>
            </w:r>
          </w:p>
        </w:tc>
      </w:tr>
      <w:tr>
        <w:tc>
          <w:tcPr>
            <w:tcW w:type="dxa" w:w="1080"/>
          </w:tcPr>
          <w:p>
            <w:r>
              <w:t>eTrade</w:t>
            </w:r>
          </w:p>
        </w:tc>
        <w:tc>
          <w:tcPr>
            <w:tcW w:type="dxa" w:w="1080"/>
          </w:tcPr>
          <w:p>
            <w:r>
              <w:t>$260,469</w:t>
            </w:r>
          </w:p>
        </w:tc>
        <w:tc>
          <w:tcPr>
            <w:tcW w:type="dxa" w:w="1080"/>
          </w:tcPr>
          <w:p>
            <w:r>
              <w:t>$260,469</w:t>
            </w:r>
          </w:p>
        </w:tc>
        <w:tc>
          <w:tcPr>
            <w:tcW w:type="dxa" w:w="1080"/>
          </w:tcPr>
          <w:p>
            <w:r>
              <w:t>$260,469</w:t>
            </w:r>
          </w:p>
        </w:tc>
        <w:tc>
          <w:tcPr>
            <w:tcW w:type="dxa" w:w="1080"/>
          </w:tcPr>
          <w:p>
            <w:r>
              <w:t>$260,469</w:t>
            </w:r>
          </w:p>
        </w:tc>
        <w:tc>
          <w:tcPr>
            <w:tcW w:type="dxa" w:w="1080"/>
          </w:tcPr>
          <w:p>
            <w:r>
              <w:t>$260,469</w:t>
            </w:r>
          </w:p>
        </w:tc>
        <w:tc>
          <w:tcPr>
            <w:tcW w:type="dxa" w:w="1080"/>
          </w:tcPr>
          <w:p>
            <w:r>
              <w:t>$260,469</w:t>
            </w:r>
          </w:p>
        </w:tc>
        <w:tc>
          <w:tcPr>
            <w:tcW w:type="dxa" w:w="1080"/>
          </w:tcPr>
          <w:p>
            <w:r>
              <w:t>$1,562,814</w:t>
            </w:r>
          </w:p>
        </w:tc>
      </w:tr>
      <w:tr>
        <w:tc>
          <w:tcPr>
            <w:tcW w:type="dxa" w:w="1080"/>
          </w:tcPr>
          <w:p>
            <w:r>
              <w:t>Susan</w:t>
            </w:r>
          </w:p>
        </w:tc>
        <w:tc>
          <w:tcPr>
            <w:tcW w:type="dxa" w:w="1080"/>
          </w:tcPr>
          <w:p>
            <w:r>
              <w:t>$129,848</w:t>
            </w:r>
          </w:p>
        </w:tc>
        <w:tc>
          <w:tcPr>
            <w:tcW w:type="dxa" w:w="1080"/>
          </w:tcPr>
          <w:p>
            <w:r>
              <w:t>$129,848</w:t>
            </w:r>
          </w:p>
        </w:tc>
        <w:tc>
          <w:tcPr>
            <w:tcW w:type="dxa" w:w="1080"/>
          </w:tcPr>
          <w:p>
            <w:r>
              <w:t>$129,848</w:t>
            </w:r>
          </w:p>
        </w:tc>
        <w:tc>
          <w:tcPr>
            <w:tcW w:type="dxa" w:w="1080"/>
          </w:tcPr>
          <w:p>
            <w:r>
              <w:t>$129,848</w:t>
            </w:r>
          </w:p>
        </w:tc>
        <w:tc>
          <w:tcPr>
            <w:tcW w:type="dxa" w:w="1080"/>
          </w:tcPr>
          <w:p>
            <w:r>
              <w:t>$129,848</w:t>
            </w:r>
          </w:p>
        </w:tc>
        <w:tc>
          <w:tcPr>
            <w:tcW w:type="dxa" w:w="1080"/>
          </w:tcPr>
          <w:p>
            <w:r>
              <w:t>$129,848</w:t>
            </w:r>
          </w:p>
        </w:tc>
        <w:tc>
          <w:tcPr>
            <w:tcW w:type="dxa" w:w="1080"/>
          </w:tcPr>
          <w:p>
            <w:r>
              <w:t>$779,088</w:t>
            </w:r>
          </w:p>
        </w:tc>
      </w:tr>
      <w:tr>
        <w:tc>
          <w:tcPr>
            <w:tcW w:type="dxa" w:w="1080"/>
          </w:tcPr>
          <w:p>
            <w:r>
              <w:t>TOTAL</w:t>
            </w:r>
          </w:p>
        </w:tc>
        <w:tc>
          <w:tcPr>
            <w:tcW w:type="dxa" w:w="1080"/>
          </w:tcPr>
          <w:p>
            <w:r>
              <w:t>$659,933</w:t>
            </w:r>
          </w:p>
        </w:tc>
        <w:tc>
          <w:tcPr>
            <w:tcW w:type="dxa" w:w="1080"/>
          </w:tcPr>
          <w:p>
            <w:r>
              <w:t>$659,933</w:t>
            </w:r>
          </w:p>
        </w:tc>
        <w:tc>
          <w:tcPr>
            <w:tcW w:type="dxa" w:w="1080"/>
          </w:tcPr>
          <w:p>
            <w:r>
              <w:t>$659,933</w:t>
            </w:r>
          </w:p>
        </w:tc>
        <w:tc>
          <w:tcPr>
            <w:tcW w:type="dxa" w:w="1080"/>
          </w:tcPr>
          <w:p>
            <w:r>
              <w:t>$659,933</w:t>
            </w:r>
          </w:p>
        </w:tc>
        <w:tc>
          <w:tcPr>
            <w:tcW w:type="dxa" w:w="1080"/>
          </w:tcPr>
          <w:p>
            <w:r>
              <w:t>$659,933</w:t>
            </w:r>
          </w:p>
        </w:tc>
        <w:tc>
          <w:tcPr>
            <w:tcW w:type="dxa" w:w="1080"/>
          </w:tcPr>
          <w:p>
            <w:r>
              <w:t>$659,933</w:t>
            </w:r>
          </w:p>
        </w:tc>
        <w:tc>
          <w:tcPr>
            <w:tcW w:type="dxa" w:w="1080"/>
          </w:tcPr>
          <w:p>
            <w:r>
              <w:t>$3,959,598</w:t>
            </w:r>
          </w:p>
        </w:tc>
      </w:tr>
    </w:tbl>
    <w:p>
      <w:r>
        <w:br w:type="page"/>
      </w:r>
    </w:p>
    <w:p>
      <w:pPr>
        <w:pStyle w:val="Heading1"/>
      </w:pPr>
      <w:r>
        <w:t>III. JANUARY 2026 DEPLOYMENT DETAILS ($659,933)</w:t>
      </w:r>
    </w:p>
    <w:p>
      <w:pPr>
        <w:pStyle w:val="Heading2"/>
      </w:pPr>
      <w:r>
        <w:t>Bob's Roth IRA ($53,010) - 11 Growth Stocks</w:t>
      </w:r>
    </w:p>
    <w:p>
      <w:pPr>
        <w:pStyle w:val="ListBullet"/>
      </w:pPr>
      <w:r>
        <w:t>NVDA: $6,110 (11.5%)</w:t>
      </w:r>
    </w:p>
    <w:p>
      <w:pPr>
        <w:pStyle w:val="ListBullet"/>
      </w:pPr>
      <w:r>
        <w:t>META: $5,740 (10.8%)</w:t>
      </w:r>
    </w:p>
    <w:p>
      <w:pPr>
        <w:pStyle w:val="ListBullet"/>
      </w:pPr>
      <w:r>
        <w:t>GOOGL: $5,500 (10.4%)</w:t>
      </w:r>
    </w:p>
    <w:p>
      <w:pPr>
        <w:pStyle w:val="ListBullet"/>
      </w:pPr>
      <w:r>
        <w:t>LLY: $5,450 (10.3%)</w:t>
      </w:r>
    </w:p>
    <w:p>
      <w:pPr>
        <w:pStyle w:val="ListBullet"/>
      </w:pPr>
      <w:r>
        <w:t>MSFT: $5,250 (9.9%)</w:t>
      </w:r>
    </w:p>
    <w:p>
      <w:pPr>
        <w:pStyle w:val="ListBullet"/>
      </w:pPr>
      <w:r>
        <w:t>V: $4,850 (9.1%)</w:t>
      </w:r>
    </w:p>
    <w:p>
      <w:pPr>
        <w:pStyle w:val="ListBullet"/>
      </w:pPr>
      <w:r>
        <w:t>AMZN: $4,690 (8.8%)</w:t>
      </w:r>
    </w:p>
    <w:p>
      <w:pPr>
        <w:pStyle w:val="ListBullet"/>
      </w:pPr>
      <w:r>
        <w:t>MA: $3,990 (7.5%)</w:t>
      </w:r>
    </w:p>
    <w:p>
      <w:pPr>
        <w:pStyle w:val="ListBullet"/>
      </w:pPr>
      <w:r>
        <w:t>ISRG: $2,610 (4.9%)</w:t>
      </w:r>
    </w:p>
    <w:p>
      <w:pPr>
        <w:pStyle w:val="ListBullet"/>
      </w:pPr>
      <w:r>
        <w:t>VRTX: $1,500 (2.8%)</w:t>
      </w:r>
    </w:p>
    <w:p>
      <w:pPr>
        <w:pStyle w:val="ListBullet"/>
      </w:pPr>
      <w:r>
        <w:t>NEE: $1,320 (2.5%)</w:t>
      </w:r>
    </w:p>
    <w:p/>
    <w:p>
      <w:pPr>
        <w:pStyle w:val="Heading2"/>
      </w:pPr>
      <w:r>
        <w:t>Bob's Traditional IRA ($216,606)</w:t>
      </w:r>
    </w:p>
    <w:p>
      <w:r>
        <w:t>15 infrastructure and longevity stocks (NEE, EQIX, D, PWR, LLY, TT, VRTX, GILD, CRM, NOW, DLR, ILMN, PANW, CRWD, NVO)</w:t>
      </w:r>
    </w:p>
    <w:p/>
    <w:p>
      <w:pPr>
        <w:pStyle w:val="Heading2"/>
      </w:pPr>
      <w:r>
        <w:t>eTrade Account ($260,469)</w:t>
      </w:r>
    </w:p>
    <w:p>
      <w:pPr>
        <w:pStyle w:val="ListBullet"/>
      </w:pPr>
      <w:r>
        <w:t>VTI: $130,235 (50.0%)</w:t>
      </w:r>
    </w:p>
    <w:p>
      <w:pPr>
        <w:pStyle w:val="ListBullet"/>
      </w:pPr>
      <w:r>
        <w:t>VXUS: $78,141 (30.0%)</w:t>
      </w:r>
    </w:p>
    <w:p>
      <w:pPr>
        <w:pStyle w:val="ListBullet"/>
      </w:pPr>
      <w:r>
        <w:t>BND: $52,094 (20.0%)</w:t>
      </w:r>
    </w:p>
    <w:p>
      <w:pPr>
        <w:pStyle w:val="ListBullet"/>
      </w:pPr>
      <w:r>
        <w:t>Overlay: LLY, EQIX, COST, UNH (10%)</w:t>
      </w:r>
    </w:p>
    <w:p/>
    <w:p>
      <w:pPr>
        <w:pStyle w:val="Heading2"/>
      </w:pPr>
      <w:r>
        <w:t>Susan's Account ($129,848) - 9 Dividend Stocks</w:t>
      </w:r>
    </w:p>
    <w:p>
      <w:pPr>
        <w:pStyle w:val="ListBullet"/>
      </w:pPr>
      <w:r>
        <w:t>V: $18,800 (14.5%)</w:t>
      </w:r>
    </w:p>
    <w:p>
      <w:pPr>
        <w:pStyle w:val="ListBullet"/>
      </w:pPr>
      <w:r>
        <w:t>MA: $16,920 (13.0%)</w:t>
      </w:r>
    </w:p>
    <w:p>
      <w:pPr>
        <w:pStyle w:val="ListBullet"/>
      </w:pPr>
      <w:r>
        <w:t>JNJ: $15,000 (11.5%)</w:t>
      </w:r>
    </w:p>
    <w:p>
      <w:pPr>
        <w:pStyle w:val="ListBullet"/>
      </w:pPr>
      <w:r>
        <w:t>UNH: $14,500 (11.2%)</w:t>
      </w:r>
    </w:p>
    <w:p>
      <w:pPr>
        <w:pStyle w:val="ListBullet"/>
      </w:pPr>
      <w:r>
        <w:t>PG: $12,850 (9.9%)</w:t>
      </w:r>
    </w:p>
    <w:p>
      <w:pPr>
        <w:pStyle w:val="ListBullet"/>
      </w:pPr>
      <w:r>
        <w:t>KO: $11,200 (8.6%)</w:t>
      </w:r>
    </w:p>
    <w:p>
      <w:pPr>
        <w:pStyle w:val="ListBullet"/>
      </w:pPr>
      <w:r>
        <w:t>PEP: $10,500 (8.1%)</w:t>
      </w:r>
    </w:p>
    <w:p>
      <w:pPr>
        <w:pStyle w:val="ListBullet"/>
      </w:pPr>
      <w:r>
        <w:t>ABBV: $7,500 (5.8%)</w:t>
      </w:r>
    </w:p>
    <w:p>
      <w:pPr>
        <w:pStyle w:val="ListBullet"/>
      </w:pPr>
      <w:r>
        <w:t>XOM: $2,478 (1.9%)</w:t>
      </w:r>
    </w:p>
    <w:p>
      <w:r>
        <w:br w:type="page"/>
      </w:r>
    </w:p>
    <w:p>
      <w:pPr>
        <w:pStyle w:val="Heading1"/>
      </w:pPr>
      <w:r>
        <w:t>IV. CORRECTION PLAYBOOK</w:t>
      </w:r>
    </w:p>
    <w:p>
      <w:r>
        <w:t>This playbook activates based on S&amp;P 500 drawdown from recent highs.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Market Drop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Monthly Deploy</w:t>
            </w:r>
          </w:p>
        </w:tc>
        <w:tc>
          <w:tcPr>
            <w:tcW w:type="dxa" w:w="2160"/>
          </w:tcPr>
          <w:p>
            <w:r>
              <w:t>Timeline</w:t>
            </w:r>
          </w:p>
        </w:tc>
      </w:tr>
      <w:tr>
        <w:tc>
          <w:tcPr>
            <w:tcW w:type="dxa" w:w="2160"/>
          </w:tcPr>
          <w:p>
            <w:r>
              <w:t>-5% to -8%</w:t>
            </w:r>
          </w:p>
        </w:tc>
        <w:tc>
          <w:tcPr>
            <w:tcW w:type="dxa" w:w="2160"/>
          </w:tcPr>
          <w:p>
            <w:r>
              <w:t>Continue as planned</w:t>
            </w:r>
          </w:p>
        </w:tc>
        <w:tc>
          <w:tcPr>
            <w:tcW w:type="dxa" w:w="2160"/>
          </w:tcPr>
          <w:p>
            <w:r>
              <w:t>$659,733</w:t>
            </w:r>
          </w:p>
        </w:tc>
        <w:tc>
          <w:tcPr>
            <w:tcW w:type="dxa" w:w="2160"/>
          </w:tcPr>
          <w:p>
            <w:r>
              <w:t>6 months</w:t>
            </w:r>
          </w:p>
        </w:tc>
      </w:tr>
      <w:tr>
        <w:tc>
          <w:tcPr>
            <w:tcW w:type="dxa" w:w="2160"/>
          </w:tcPr>
          <w:p>
            <w:r>
              <w:t>-8% to -12%</w:t>
            </w:r>
          </w:p>
        </w:tc>
        <w:tc>
          <w:tcPr>
            <w:tcW w:type="dxa" w:w="2160"/>
          </w:tcPr>
          <w:p>
            <w:r>
              <w:t>Pause 30 days, then 1.5×</w:t>
            </w:r>
          </w:p>
        </w:tc>
        <w:tc>
          <w:tcPr>
            <w:tcW w:type="dxa" w:w="2160"/>
          </w:tcPr>
          <w:p>
            <w:r>
              <w:t>$989,900</w:t>
            </w:r>
          </w:p>
        </w:tc>
        <w:tc>
          <w:tcPr>
            <w:tcW w:type="dxa" w:w="2160"/>
          </w:tcPr>
          <w:p>
            <w:r>
              <w:t>4 months</w:t>
            </w:r>
          </w:p>
        </w:tc>
      </w:tr>
      <w:tr>
        <w:tc>
          <w:tcPr>
            <w:tcW w:type="dxa" w:w="2160"/>
          </w:tcPr>
          <w:p>
            <w:r>
              <w:t>-12% to -20%</w:t>
            </w:r>
          </w:p>
        </w:tc>
        <w:tc>
          <w:tcPr>
            <w:tcW w:type="dxa" w:w="2160"/>
          </w:tcPr>
          <w:p>
            <w:r>
              <w:t>Accelerate to 2×</w:t>
            </w:r>
          </w:p>
        </w:tc>
        <w:tc>
          <w:tcPr>
            <w:tcW w:type="dxa" w:w="2160"/>
          </w:tcPr>
          <w:p>
            <w:r>
              <w:t>$1,319,866</w:t>
            </w:r>
          </w:p>
        </w:tc>
        <w:tc>
          <w:tcPr>
            <w:tcW w:type="dxa" w:w="2160"/>
          </w:tcPr>
          <w:p>
            <w:r>
              <w:t>3 months</w:t>
            </w:r>
          </w:p>
        </w:tc>
      </w:tr>
      <w:tr>
        <w:tc>
          <w:tcPr>
            <w:tcW w:type="dxa" w:w="2160"/>
          </w:tcPr>
          <w:p>
            <w:r>
              <w:t>-20% to -30%</w:t>
            </w:r>
          </w:p>
        </w:tc>
        <w:tc>
          <w:tcPr>
            <w:tcW w:type="dxa" w:w="2160"/>
          </w:tcPr>
          <w:p>
            <w:r>
              <w:t>Deploy ALL immediately</w:t>
            </w:r>
          </w:p>
        </w:tc>
        <w:tc>
          <w:tcPr>
            <w:tcW w:type="dxa" w:w="2160"/>
          </w:tcPr>
          <w:p>
            <w:r>
              <w:t>$3,958,400</w:t>
            </w:r>
          </w:p>
        </w:tc>
        <w:tc>
          <w:tcPr>
            <w:tcW w:type="dxa" w:w="2160"/>
          </w:tcPr>
          <w:p>
            <w:r>
              <w:t>2 weeks</w:t>
            </w:r>
          </w:p>
        </w:tc>
      </w:tr>
      <w:tr>
        <w:tc>
          <w:tcPr>
            <w:tcW w:type="dxa" w:w="2160"/>
          </w:tcPr>
          <w:p>
            <w:r>
              <w:t>&gt;-30%</w:t>
            </w:r>
          </w:p>
        </w:tc>
        <w:tc>
          <w:tcPr>
            <w:tcW w:type="dxa" w:w="2160"/>
          </w:tcPr>
          <w:p>
            <w:r>
              <w:t>Deploy ALL + Wells Fargo</w:t>
            </w:r>
          </w:p>
        </w:tc>
        <w:tc>
          <w:tcPr>
            <w:tcW w:type="dxa" w:w="2160"/>
          </w:tcPr>
          <w:p>
            <w:r>
              <w:t>$4,458,400</w:t>
            </w:r>
          </w:p>
        </w:tc>
        <w:tc>
          <w:tcPr>
            <w:tcW w:type="dxa" w:w="2160"/>
          </w:tcPr>
          <w:p>
            <w:r>
              <w:t>1 week</w:t>
            </w:r>
          </w:p>
        </w:tc>
      </w:tr>
    </w:tbl>
    <w:p>
      <w:r>
        <w:br w:type="page"/>
      </w:r>
    </w:p>
    <w:p>
      <w:pPr>
        <w:pStyle w:val="Heading1"/>
      </w:pPr>
      <w:r>
        <w:t>V. EXECUTION PROTOCOLS</w:t>
      </w:r>
    </w:p>
    <w:p>
      <w:pPr>
        <w:pStyle w:val="Heading2"/>
      </w:pPr>
      <w:r>
        <w:t>Weekly Schedule</w:t>
      </w:r>
    </w:p>
    <w:p>
      <w:pPr>
        <w:pStyle w:val="ListBullet"/>
      </w:pPr>
      <w:r>
        <w:t>Week 1 (Days 1-5): Bob's Roth + Susan's IRA</w:t>
      </w:r>
    </w:p>
    <w:p>
      <w:pPr>
        <w:pStyle w:val="ListBullet"/>
      </w:pPr>
      <w:r>
        <w:t>Week 2 (Days 8-12): Bob's Traditional IRA</w:t>
      </w:r>
    </w:p>
    <w:p>
      <w:pPr>
        <w:pStyle w:val="ListBullet"/>
      </w:pPr>
      <w:r>
        <w:t>Week 3 (Days 15-19): eTrade IRA (index funds + overlay)</w:t>
      </w:r>
    </w:p>
    <w:p>
      <w:pPr>
        <w:pStyle w:val="ListBullet"/>
      </w:pPr>
      <w:r>
        <w:t>Week 4 (Days 22-26): Reconciliation and tracking</w:t>
      </w:r>
    </w:p>
    <w:p/>
    <w:p>
      <w:pPr>
        <w:pStyle w:val="Heading2"/>
      </w:pPr>
      <w:r>
        <w:t>Order Types</w:t>
      </w:r>
    </w:p>
    <w:p>
      <w:pPr>
        <w:pStyle w:val="ListBullet"/>
      </w:pPr>
      <w:r>
        <w:t>Index Funds (VTI, VXUS, BND): Market orders</w:t>
      </w:r>
    </w:p>
    <w:p>
      <w:pPr>
        <w:pStyle w:val="ListBullet"/>
      </w:pPr>
      <w:r>
        <w:t>Large Positions (&gt;$10K): Limit orders 1% below ask</w:t>
      </w:r>
    </w:p>
    <w:p>
      <w:pPr>
        <w:pStyle w:val="ListBullet"/>
      </w:pPr>
      <w:r>
        <w:t>Small Positions (&lt;$10K): Market orders</w:t>
      </w:r>
    </w:p>
    <w:p>
      <w:pPr>
        <w:pStyle w:val="ListBullet"/>
      </w:pPr>
      <w:r>
        <w:t>Maximum Single Day: $300,000</w:t>
      </w:r>
    </w:p>
    <w:p>
      <w:r>
        <w:br w:type="page"/>
      </w:r>
    </w:p>
    <w:p>
      <w:pPr>
        <w:pStyle w:val="Heading1"/>
      </w:pPr>
      <w:r>
        <w:t>VI. EXPECTED VALUES BY SCENARIO (2036)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  <w:tc>
          <w:tcPr>
            <w:tcW w:type="dxa" w:w="2160"/>
          </w:tcPr>
          <w:p>
            <w:r>
              <w:t>2036 Value</w:t>
            </w:r>
          </w:p>
        </w:tc>
        <w:tc>
          <w:tcPr>
            <w:tcW w:type="dxa" w:w="2160"/>
          </w:tcPr>
          <w:p>
            <w:r>
              <w:t>CAGR</w:t>
            </w:r>
          </w:p>
        </w:tc>
      </w:tr>
      <w:tr>
        <w:tc>
          <w:tcPr>
            <w:tcW w:type="dxa" w:w="2160"/>
          </w:tcPr>
          <w:p>
            <w:r>
              <w:t>Bull Case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$16,850,000</w:t>
            </w:r>
          </w:p>
        </w:tc>
        <w:tc>
          <w:tcPr>
            <w:tcW w:type="dxa" w:w="2160"/>
          </w:tcPr>
          <w:p>
            <w:r>
              <w:t>15.2%</w:t>
            </w:r>
          </w:p>
        </w:tc>
      </w:tr>
      <w:tr>
        <w:tc>
          <w:tcPr>
            <w:tcW w:type="dxa" w:w="2160"/>
          </w:tcPr>
          <w:p>
            <w:r>
              <w:t>Base Case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$14,800,000</w:t>
            </w:r>
          </w:p>
        </w:tc>
        <w:tc>
          <w:tcPr>
            <w:tcW w:type="dxa" w:w="2160"/>
          </w:tcPr>
          <w:p>
            <w:r>
              <w:t>13.1%</w:t>
            </w:r>
          </w:p>
        </w:tc>
      </w:tr>
      <w:tr>
        <w:tc>
          <w:tcPr>
            <w:tcW w:type="dxa" w:w="2160"/>
          </w:tcPr>
          <w:p>
            <w:r>
              <w:t>Correction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$13,200,000</w:t>
            </w:r>
          </w:p>
        </w:tc>
        <w:tc>
          <w:tcPr>
            <w:tcW w:type="dxa" w:w="2160"/>
          </w:tcPr>
          <w:p>
            <w:r>
              <w:t>12.0%</w:t>
            </w:r>
          </w:p>
        </w:tc>
      </w:tr>
      <w:tr>
        <w:tc>
          <w:tcPr>
            <w:tcW w:type="dxa" w:w="2160"/>
          </w:tcPr>
          <w:p>
            <w:r>
              <w:t>Bear Case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$10,500,000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</w:tr>
    </w:tbl>
    <w:p/>
    <w:p>
      <w:r>
        <w:rPr>
          <w:b/>
          <w:color w:val="008000"/>
          <w:sz w:val="26"/>
        </w:rPr>
        <w:t>Weighted Expected Value (2036): $14,320,000 (11.4% CAGR)</w:t>
      </w:r>
    </w:p>
    <w:p>
      <w:r>
        <w:br w:type="page"/>
      </w:r>
    </w:p>
    <w:p>
      <w:pPr>
        <w:pStyle w:val="Heading1"/>
      </w:pPr>
      <w:r>
        <w:t>FINAL RECOMMENDATION</w:t>
      </w:r>
    </w:p>
    <w:p>
      <w:pPr>
        <w:jc w:val="center"/>
      </w:pPr>
      <w:r>
        <w:rPr>
          <w:b/>
          <w:color w:val="0070C0"/>
          <w:sz w:val="28"/>
        </w:rPr>
        <w:t>IMPLEMENT 6-MONTH DOLLAR-COST AVERAGING</w:t>
      </w:r>
    </w:p>
    <w:p/>
    <w:p>
      <w:r>
        <w:rPr>
          <w:b/>
        </w:rPr>
        <w:t xml:space="preserve">Deploy How: </w:t>
      </w:r>
      <w:r>
        <w:t>6-month DCA, $659,733 monthly</w:t>
      </w:r>
    </w:p>
    <w:p>
      <w:r>
        <w:rPr>
          <w:b/>
        </w:rPr>
        <w:t xml:space="preserve">Deploy When: </w:t>
      </w:r>
      <w:r>
        <w:t>January 5 - June 30, 2026</w:t>
      </w:r>
    </w:p>
    <w:p>
      <w:r>
        <w:rPr>
          <w:b/>
        </w:rPr>
        <w:t xml:space="preserve">Deploy What: </w:t>
      </w:r>
      <w:r>
        <w:t>All accounts per December 2025 Baseline</w:t>
      </w:r>
    </w:p>
    <w:p>
      <w:r>
        <w:rPr>
          <w:b/>
        </w:rPr>
        <w:t xml:space="preserve">Adjust How: </w:t>
      </w:r>
      <w:r>
        <w:t>5-tier correction playbook</w:t>
      </w:r>
    </w:p>
    <w:p>
      <w:r>
        <w:rPr>
          <w:b/>
        </w:rPr>
        <w:t xml:space="preserve">Expected Outcome: </w:t>
      </w:r>
      <w:r>
        <w:t>$14.3M by 2036 (11.4% CAGR)</w:t>
      </w:r>
    </w:p>
    <w:p/>
    <w:p>
      <w:pPr>
        <w:pStyle w:val="Heading2"/>
      </w:pPr>
      <w:r>
        <w:t>Key Advantages</w:t>
      </w:r>
    </w:p>
    <w:p>
      <w:r>
        <w:rPr>
          <w:color w:val="008000"/>
        </w:rPr>
        <w:t>✓ Matches approved December 2025 Baseline Strategy</w:t>
      </w:r>
    </w:p>
    <w:p>
      <w:r>
        <w:rPr>
          <w:color w:val="008000"/>
        </w:rPr>
        <w:t>✓ Protects against 62% Q1 correction probability</w:t>
      </w:r>
    </w:p>
    <w:p>
      <w:r>
        <w:rPr>
          <w:color w:val="008000"/>
        </w:rPr>
        <w:t>✓ Completes by retirement date (June 2026)</w:t>
      </w:r>
    </w:p>
    <w:p>
      <w:r>
        <w:rPr>
          <w:color w:val="008000"/>
        </w:rPr>
        <w:t>✓ Wells Fargo $1.97M buffer remains untouched</w:t>
      </w:r>
    </w:p>
    <w:p>
      <w:r>
        <w:rPr>
          <w:color w:val="008000"/>
        </w:rPr>
        <w:t>✓ Flexible correction response for any scenario</w:t>
      </w:r>
    </w:p>
    <w:p/>
    <w:p>
      <w:pPr>
        <w:jc w:val="center"/>
      </w:pPr>
      <w:r>
        <w:rPr>
          <w:b/>
          <w:sz w:val="24"/>
        </w:rPr>
        <w:t>READY FOR EXECUTION: January 5,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