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b/>
          <w:color w:val="1F4E79"/>
          <w:sz w:val="72"/>
        </w:rPr>
        <w:t>ESTATE PLANNING STRATEGY</w:t>
      </w:r>
    </w:p>
    <w:p>
      <w:pPr>
        <w:jc w:val="center"/>
      </w:pPr>
      <w:r>
        <w:rPr>
          <w:color w:val="595959"/>
          <w:sz w:val="36"/>
        </w:rPr>
        <w:t>Initial Consultation &amp; Strategic Recommendations</w:t>
      </w:r>
    </w:p>
    <w:p/>
    <w:p>
      <w:pPr>
        <w:jc w:val="center"/>
      </w:pPr>
      <w:r>
        <w:rPr>
          <w:sz w:val="28"/>
        </w:rPr>
        <w:t>Prepared for: Bob &amp; Susan</w:t>
      </w:r>
    </w:p>
    <w:p/>
    <w:p>
      <w:pPr>
        <w:jc w:val="center"/>
      </w:pPr>
      <w:r>
        <w:rPr>
          <w:i/>
          <w:sz w:val="24"/>
        </w:rPr>
        <w:t>South Carolina High Net Worth Estate Planning</w:t>
      </w:r>
    </w:p>
    <w:p/>
    <w:p/>
    <w:p>
      <w:pPr>
        <w:jc w:val="center"/>
      </w:pPr>
      <w:r>
        <w:rPr>
          <w:sz w:val="24"/>
        </w:rPr>
        <w:t>December 2025</w:t>
      </w:r>
    </w:p>
    <w:p/>
    <w:p/>
    <w:p>
      <w:pPr>
        <w:jc w:val="center"/>
      </w:pPr>
      <w:r>
        <w:rPr>
          <w:b/>
          <w:color w:val="C00000"/>
          <w:sz w:val="20"/>
        </w:rPr>
        <w:t>CONFIDENTIAL - ATTORNEY-CLIENT PRIVILEGED</w:t>
      </w:r>
    </w:p>
    <w:p>
      <w:r>
        <w:br w:type="page"/>
      </w:r>
    </w:p>
    <w:p>
      <w:pPr>
        <w:pStyle w:val="Heading1"/>
      </w:pPr>
      <w:r>
        <w:t>Table of Contents</w:t>
      </w:r>
    </w:p>
    <w:p>
      <w:pPr>
        <w:ind w:left="720"/>
      </w:pPr>
      <w:r>
        <w:rPr>
          <w:b w:val="0"/>
        </w:rPr>
        <w:t>1.  Executive Summary: Estate Profile</w:t>
      </w:r>
      <w:r>
        <w:t xml:space="preserve">  ...........................  3</w:t>
      </w:r>
    </w:p>
    <w:p>
      <w:pPr>
        <w:ind w:left="720"/>
      </w:pPr>
      <w:r>
        <w:rPr>
          <w:b w:val="0"/>
        </w:rPr>
        <w:t>2.  The Foundation: South Carolina Revocable Living Trust</w:t>
      </w:r>
      <w:r>
        <w:t xml:space="preserve">  .......  4</w:t>
      </w:r>
    </w:p>
    <w:p>
      <w:pPr>
        <w:ind w:left="720"/>
      </w:pPr>
      <w:r>
        <w:rPr>
          <w:b w:val="0"/>
        </w:rPr>
        <w:t>3.  Wealth Transfer Tax Strategy: The 2026 Sunset Crisis</w:t>
      </w:r>
      <w:r>
        <w:t xml:space="preserve">  ........  5</w:t>
      </w:r>
    </w:p>
    <w:p>
      <w:pPr>
        <w:ind w:left="720"/>
      </w:pPr>
      <w:r>
        <w:rPr>
          <w:b w:val="0"/>
        </w:rPr>
        <w:t>4.  Recommended Irrevocable Trust Structures</w:t>
      </w:r>
      <w:r>
        <w:t xml:space="preserve">  ....................  6</w:t>
      </w:r>
    </w:p>
    <w:p>
      <w:pPr>
        <w:ind w:left="720"/>
      </w:pPr>
      <w:r>
        <w:rPr>
          <w:b w:val="0"/>
        </w:rPr>
        <w:t>5.  Asset Protection for Daughters</w:t>
      </w:r>
      <w:r>
        <w:t xml:space="preserve">  ..............................  8</w:t>
      </w:r>
    </w:p>
    <w:p>
      <w:pPr>
        <w:ind w:left="720"/>
      </w:pPr>
      <w:r>
        <w:rPr>
          <w:b w:val="0"/>
        </w:rPr>
        <w:t>6.  Tax Implications: Federal vs. South Carolina</w:t>
      </w:r>
      <w:r>
        <w:t xml:space="preserve">  ................  9</w:t>
      </w:r>
    </w:p>
    <w:p>
      <w:pPr>
        <w:ind w:left="720"/>
      </w:pPr>
      <w:r>
        <w:rPr>
          <w:b w:val="0"/>
        </w:rPr>
        <w:t>7.  Immediate Next Steps &amp; Action Items</w:t>
      </w:r>
      <w:r>
        <w:t xml:space="preserve">  .........................  10</w:t>
      </w:r>
    </w:p>
    <w:p>
      <w:pPr>
        <w:ind w:left="720"/>
      </w:pPr>
      <w:r>
        <w:rPr>
          <w:b w:val="0"/>
        </w:rPr>
        <w:t>8.  Recommended Meeting Agenda</w:t>
      </w:r>
      <w:r>
        <w:t xml:space="preserve">  ..................................  11</w:t>
      </w:r>
    </w:p>
    <w:p>
      <w:pPr>
        <w:ind w:left="720"/>
      </w:pPr>
      <w:r>
        <w:rPr>
          <w:b w:val="0"/>
        </w:rPr>
        <w:t>9.  Summary: Estate Planning Priorities</w:t>
      </w:r>
      <w:r>
        <w:t xml:space="preserve">  .........................  12</w:t>
      </w:r>
    </w:p>
    <w:p>
      <w:r>
        <w:br w:type="page"/>
      </w:r>
    </w:p>
    <w:p>
      <w:pPr>
        <w:pStyle w:val="Heading1"/>
      </w:pPr>
      <w:r>
        <w:t>1. Executive Summary: Estate Profile</w:t>
      </w:r>
    </w:p>
    <w:p>
      <w:r>
        <w:t>Based on the December 2025 Baseline Strategy, your estate composition and projections are as follows:</w:t>
      </w:r>
    </w:p>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fill="1F4E79"/>
          </w:tcPr>
          <w:p>
            <w:pPr>
              <w:jc w:val="center"/>
            </w:pPr>
            <w:r>
              <w:rPr>
                <w:b/>
                <w:color w:val="FFFFFF"/>
                <w:sz w:val="20"/>
              </w:rPr>
              <w:t>Asset</w:t>
            </w:r>
          </w:p>
        </w:tc>
        <w:tc>
          <w:tcPr>
            <w:tcW w:type="dxa" w:w="2160"/>
            <w:shd w:fill="1F4E79"/>
          </w:tcPr>
          <w:p>
            <w:pPr>
              <w:jc w:val="center"/>
            </w:pPr>
            <w:r>
              <w:rPr>
                <w:b/>
                <w:color w:val="FFFFFF"/>
                <w:sz w:val="20"/>
              </w:rPr>
              <w:t>Current Value (Jan 2027)</w:t>
            </w:r>
          </w:p>
        </w:tc>
        <w:tc>
          <w:tcPr>
            <w:tcW w:type="dxa" w:w="2160"/>
            <w:shd w:fill="1F4E79"/>
          </w:tcPr>
          <w:p>
            <w:pPr>
              <w:jc w:val="center"/>
            </w:pPr>
            <w:r>
              <w:rPr>
                <w:b/>
                <w:color w:val="FFFFFF"/>
                <w:sz w:val="20"/>
              </w:rPr>
              <w:t>2036 Projection</w:t>
            </w:r>
          </w:p>
        </w:tc>
        <w:tc>
          <w:tcPr>
            <w:tcW w:type="dxa" w:w="2160"/>
            <w:shd w:fill="1F4E79"/>
          </w:tcPr>
          <w:p>
            <w:pPr>
              <w:jc w:val="center"/>
            </w:pPr>
            <w:r>
              <w:rPr>
                <w:b/>
                <w:color w:val="FFFFFF"/>
                <w:sz w:val="20"/>
              </w:rPr>
              <w:t>Tax Treatment at Death</w:t>
            </w:r>
          </w:p>
        </w:tc>
      </w:tr>
      <w:tr>
        <w:tc>
          <w:tcPr>
            <w:tcW w:type="dxa" w:w="2160"/>
          </w:tcPr>
          <w:p>
            <w:pPr>
              <w:jc w:val="left"/>
            </w:pPr>
            <w:r>
              <w:rPr>
                <w:sz w:val="20"/>
              </w:rPr>
              <w:t>Bob's Roth IRA</w:t>
            </w:r>
          </w:p>
        </w:tc>
        <w:tc>
          <w:tcPr>
            <w:tcW w:type="dxa" w:w="2160"/>
          </w:tcPr>
          <w:p>
            <w:pPr>
              <w:jc w:val="center"/>
            </w:pPr>
            <w:r>
              <w:rPr>
                <w:sz w:val="20"/>
              </w:rPr>
              <w:t>$318,000</w:t>
            </w:r>
          </w:p>
        </w:tc>
        <w:tc>
          <w:tcPr>
            <w:tcW w:type="dxa" w:w="2160"/>
          </w:tcPr>
          <w:p>
            <w:pPr>
              <w:jc w:val="center"/>
            </w:pPr>
            <w:r>
              <w:rPr>
                <w:sz w:val="20"/>
              </w:rPr>
              <w:t>$6,363,000</w:t>
            </w:r>
          </w:p>
        </w:tc>
        <w:tc>
          <w:tcPr>
            <w:tcW w:type="dxa" w:w="2160"/>
          </w:tcPr>
          <w:p>
            <w:pPr>
              <w:jc w:val="center"/>
            </w:pPr>
            <w:r>
              <w:rPr>
                <w:sz w:val="20"/>
              </w:rPr>
              <w:t>100% Tax-Free</w:t>
            </w:r>
          </w:p>
        </w:tc>
      </w:tr>
      <w:tr>
        <w:tc>
          <w:tcPr>
            <w:tcW w:type="dxa" w:w="2160"/>
            <w:shd w:fill="D6E3F8"/>
          </w:tcPr>
          <w:p>
            <w:pPr>
              <w:jc w:val="left"/>
            </w:pPr>
            <w:r>
              <w:rPr>
                <w:sz w:val="20"/>
              </w:rPr>
              <w:t>Bob's Traditional IRA</w:t>
            </w:r>
          </w:p>
        </w:tc>
        <w:tc>
          <w:tcPr>
            <w:tcW w:type="dxa" w:w="2160"/>
            <w:shd w:fill="D6E3F8"/>
          </w:tcPr>
          <w:p>
            <w:pPr>
              <w:jc w:val="center"/>
            </w:pPr>
            <w:r>
              <w:rPr>
                <w:sz w:val="20"/>
              </w:rPr>
              <w:t>$1,299,400</w:t>
            </w:r>
          </w:p>
        </w:tc>
        <w:tc>
          <w:tcPr>
            <w:tcW w:type="dxa" w:w="2160"/>
            <w:shd w:fill="D6E3F8"/>
          </w:tcPr>
          <w:p>
            <w:pPr>
              <w:jc w:val="center"/>
            </w:pPr>
            <w:r>
              <w:rPr>
                <w:sz w:val="20"/>
              </w:rPr>
              <w:t>$1,347,000</w:t>
            </w:r>
          </w:p>
        </w:tc>
        <w:tc>
          <w:tcPr>
            <w:tcW w:type="dxa" w:w="2160"/>
            <w:shd w:fill="D6E3F8"/>
          </w:tcPr>
          <w:p>
            <w:pPr>
              <w:jc w:val="center"/>
            </w:pPr>
            <w:r>
              <w:rPr>
                <w:sz w:val="20"/>
              </w:rPr>
              <w:t>Taxable (10-yr stretch)</w:t>
            </w:r>
          </w:p>
        </w:tc>
      </w:tr>
      <w:tr>
        <w:tc>
          <w:tcPr>
            <w:tcW w:type="dxa" w:w="2160"/>
          </w:tcPr>
          <w:p>
            <w:pPr>
              <w:jc w:val="left"/>
            </w:pPr>
            <w:r>
              <w:rPr>
                <w:sz w:val="20"/>
              </w:rPr>
              <w:t>eTrade IRA</w:t>
            </w:r>
          </w:p>
        </w:tc>
        <w:tc>
          <w:tcPr>
            <w:tcW w:type="dxa" w:w="2160"/>
          </w:tcPr>
          <w:p>
            <w:pPr>
              <w:jc w:val="center"/>
            </w:pPr>
            <w:r>
              <w:rPr>
                <w:sz w:val="20"/>
              </w:rPr>
              <w:t>$1,562,300</w:t>
            </w:r>
          </w:p>
        </w:tc>
        <w:tc>
          <w:tcPr>
            <w:tcW w:type="dxa" w:w="2160"/>
          </w:tcPr>
          <w:p>
            <w:pPr>
              <w:jc w:val="center"/>
            </w:pPr>
            <w:r>
              <w:rPr>
                <w:sz w:val="20"/>
              </w:rPr>
              <w:t>$3,587,000</w:t>
            </w:r>
          </w:p>
        </w:tc>
        <w:tc>
          <w:tcPr>
            <w:tcW w:type="dxa" w:w="2160"/>
          </w:tcPr>
          <w:p>
            <w:pPr>
              <w:jc w:val="center"/>
            </w:pPr>
            <w:r>
              <w:rPr>
                <w:sz w:val="20"/>
              </w:rPr>
              <w:t>Taxable (10-yr stretch)</w:t>
            </w:r>
          </w:p>
        </w:tc>
      </w:tr>
      <w:tr>
        <w:tc>
          <w:tcPr>
            <w:tcW w:type="dxa" w:w="2160"/>
            <w:shd w:fill="D6E3F8"/>
          </w:tcPr>
          <w:p>
            <w:pPr>
              <w:jc w:val="left"/>
            </w:pPr>
            <w:r>
              <w:rPr>
                <w:sz w:val="20"/>
              </w:rPr>
              <w:t>Susan's IRA</w:t>
            </w:r>
          </w:p>
        </w:tc>
        <w:tc>
          <w:tcPr>
            <w:tcW w:type="dxa" w:w="2160"/>
            <w:shd w:fill="D6E3F8"/>
          </w:tcPr>
          <w:p>
            <w:pPr>
              <w:jc w:val="center"/>
            </w:pPr>
            <w:r>
              <w:rPr>
                <w:sz w:val="20"/>
              </w:rPr>
              <w:t>$778,700</w:t>
            </w:r>
          </w:p>
        </w:tc>
        <w:tc>
          <w:tcPr>
            <w:tcW w:type="dxa" w:w="2160"/>
            <w:shd w:fill="D6E3F8"/>
          </w:tcPr>
          <w:p>
            <w:pPr>
              <w:jc w:val="center"/>
            </w:pPr>
            <w:r>
              <w:rPr>
                <w:sz w:val="20"/>
              </w:rPr>
              <w:t>$1,634,000</w:t>
            </w:r>
          </w:p>
        </w:tc>
        <w:tc>
          <w:tcPr>
            <w:tcW w:type="dxa" w:w="2160"/>
            <w:shd w:fill="D6E3F8"/>
          </w:tcPr>
          <w:p>
            <w:pPr>
              <w:jc w:val="center"/>
            </w:pPr>
            <w:r>
              <w:rPr>
                <w:sz w:val="20"/>
              </w:rPr>
              <w:t>Taxable (10-yr stretch)</w:t>
            </w:r>
          </w:p>
        </w:tc>
      </w:tr>
      <w:tr>
        <w:tc>
          <w:tcPr>
            <w:tcW w:type="dxa" w:w="2160"/>
          </w:tcPr>
          <w:p>
            <w:pPr>
              <w:jc w:val="left"/>
            </w:pPr>
            <w:r>
              <w:rPr>
                <w:sz w:val="20"/>
              </w:rPr>
              <w:t>Wells Fargo (SGOV)</w:t>
            </w:r>
          </w:p>
        </w:tc>
        <w:tc>
          <w:tcPr>
            <w:tcW w:type="dxa" w:w="2160"/>
          </w:tcPr>
          <w:p>
            <w:pPr>
              <w:jc w:val="center"/>
            </w:pPr>
            <w:r>
              <w:rPr>
                <w:sz w:val="20"/>
              </w:rPr>
              <w:t>$1,970,000</w:t>
            </w:r>
          </w:p>
        </w:tc>
        <w:tc>
          <w:tcPr>
            <w:tcW w:type="dxa" w:w="2160"/>
          </w:tcPr>
          <w:p>
            <w:pPr>
              <w:jc w:val="center"/>
            </w:pPr>
            <w:r>
              <w:rPr>
                <w:sz w:val="20"/>
              </w:rPr>
              <w:t>$1,100,000</w:t>
            </w:r>
          </w:p>
        </w:tc>
        <w:tc>
          <w:tcPr>
            <w:tcW w:type="dxa" w:w="2160"/>
          </w:tcPr>
          <w:p>
            <w:pPr>
              <w:jc w:val="center"/>
            </w:pPr>
            <w:r>
              <w:rPr>
                <w:sz w:val="20"/>
              </w:rPr>
              <w:t>Step-up basis</w:t>
            </w:r>
          </w:p>
        </w:tc>
      </w:tr>
      <w:tr>
        <w:tc>
          <w:tcPr>
            <w:tcW w:type="dxa" w:w="2160"/>
            <w:shd w:fill="D6E3F8"/>
          </w:tcPr>
          <w:p>
            <w:pPr>
              <w:jc w:val="left"/>
            </w:pPr>
            <w:r>
              <w:rPr>
                <w:sz w:val="20"/>
              </w:rPr>
              <w:t>Lake Murray Estate</w:t>
            </w:r>
          </w:p>
        </w:tc>
        <w:tc>
          <w:tcPr>
            <w:tcW w:type="dxa" w:w="2160"/>
            <w:shd w:fill="D6E3F8"/>
          </w:tcPr>
          <w:p>
            <w:pPr>
              <w:jc w:val="center"/>
            </w:pPr>
            <w:r>
              <w:rPr>
                <w:sz w:val="20"/>
              </w:rPr>
              <w:t>~$3,400,000</w:t>
            </w:r>
          </w:p>
        </w:tc>
        <w:tc>
          <w:tcPr>
            <w:tcW w:type="dxa" w:w="2160"/>
            <w:shd w:fill="D6E3F8"/>
          </w:tcPr>
          <w:p>
            <w:pPr>
              <w:jc w:val="center"/>
            </w:pPr>
            <w:r>
              <w:rPr>
                <w:sz w:val="20"/>
              </w:rPr>
              <w:t>~$3,400,000+</w:t>
            </w:r>
          </w:p>
        </w:tc>
        <w:tc>
          <w:tcPr>
            <w:tcW w:type="dxa" w:w="2160"/>
            <w:shd w:fill="D6E3F8"/>
          </w:tcPr>
          <w:p>
            <w:pPr>
              <w:jc w:val="center"/>
            </w:pPr>
            <w:r>
              <w:rPr>
                <w:sz w:val="20"/>
              </w:rPr>
              <w:t>Step-up basis</w:t>
            </w:r>
          </w:p>
        </w:tc>
      </w:tr>
      <w:tr>
        <w:tc>
          <w:tcPr>
            <w:tcW w:type="dxa" w:w="2160"/>
          </w:tcPr>
          <w:p>
            <w:pPr>
              <w:jc w:val="left"/>
            </w:pPr>
            <w:r>
              <w:rPr>
                <w:sz w:val="20"/>
              </w:rPr>
              <w:t>TOTAL</w:t>
            </w:r>
          </w:p>
        </w:tc>
        <w:tc>
          <w:tcPr>
            <w:tcW w:type="dxa" w:w="2160"/>
          </w:tcPr>
          <w:p>
            <w:pPr>
              <w:jc w:val="center"/>
            </w:pPr>
            <w:r>
              <w:rPr>
                <w:sz w:val="20"/>
              </w:rPr>
              <w:t>~$9.3M</w:t>
            </w:r>
          </w:p>
        </w:tc>
        <w:tc>
          <w:tcPr>
            <w:tcW w:type="dxa" w:w="2160"/>
          </w:tcPr>
          <w:p>
            <w:pPr>
              <w:jc w:val="center"/>
            </w:pPr>
            <w:r>
              <w:rPr>
                <w:sz w:val="20"/>
              </w:rPr>
              <w:t>~$17.4M</w:t>
            </w:r>
          </w:p>
        </w:tc>
        <w:tc>
          <w:tcPr>
            <w:tcW w:type="dxa" w:w="2160"/>
          </w:tcPr>
          <w:p>
            <w:pPr>
              <w:jc w:val="center"/>
            </w:pPr>
            <w:r>
              <w:rPr>
                <w:sz w:val="20"/>
              </w:rPr>
              <w:t>Mixed treatment</w:t>
            </w:r>
          </w:p>
        </w:tc>
      </w:tr>
    </w:tbl>
    <w:p/>
    <w:p>
      <w:r>
        <w:rPr>
          <w:b/>
        </w:rPr>
        <w:t xml:space="preserve">⚠ CRITICAL OBSERVATION: </w:t>
      </w:r>
      <w:r>
        <w:t xml:space="preserve">Your projected 2036 estate of ~$17.4M (potentially $20.5M by 2045) </w:t>
      </w:r>
      <w:r>
        <w:rPr>
          <w:b/>
        </w:rPr>
        <w:t xml:space="preserve">exceeds the current federal exemption </w:t>
      </w:r>
      <w:r>
        <w:t>and will likely exceed the post-2026 sunset exemption significantly. Immediate action is required.</w:t>
      </w:r>
    </w:p>
    <w:p>
      <w:r>
        <w:br w:type="page"/>
      </w:r>
    </w:p>
    <w:p>
      <w:pPr>
        <w:pStyle w:val="Heading1"/>
      </w:pPr>
      <w:r>
        <w:t>2. The Foundation: South Carolina Revocable Living Trust</w:t>
      </w:r>
    </w:p>
    <w:p>
      <w:pPr>
        <w:pStyle w:val="Heading2"/>
      </w:pPr>
      <w:r>
        <w:t>Joint vs. Separate Trusts in SC</w:t>
      </w:r>
    </w:p>
    <w:p>
      <w:r>
        <w:rPr>
          <w:sz w:val="22"/>
        </w:rPr>
        <w:t xml:space="preserve">For your situation, we recommend a </w:t>
      </w:r>
      <w:r>
        <w:rPr>
          <w:b/>
        </w:rPr>
        <w:t>Joint Revocable Living Trust</w:t>
      </w:r>
      <w:r>
        <w:t xml:space="preserve"> (the 'Bob &amp; Susan Family Trust' you've already established).</w:t>
      </w:r>
    </w:p>
    <w:p/>
    <w:p>
      <w:pPr>
        <w:pStyle w:val="Heading2"/>
      </w:pPr>
      <w:r>
        <w:t>Why Joint Works for You:</w:t>
      </w:r>
    </w:p>
    <w:p>
      <w:pPr>
        <w:pStyle w:val="ListBullet"/>
      </w:pPr>
      <w:r>
        <w:t>South Carolina recognizes joint trusts for married couples</w:t>
      </w:r>
    </w:p>
    <w:p>
      <w:pPr>
        <w:pStyle w:val="ListBullet"/>
      </w:pPr>
      <w:r>
        <w:t>Simplified administration during lifetime</w:t>
      </w:r>
    </w:p>
    <w:p>
      <w:pPr>
        <w:pStyle w:val="ListBullet"/>
      </w:pPr>
      <w:r>
        <w:t>Both spouses serve as co-trustees</w:t>
      </w:r>
    </w:p>
    <w:p>
      <w:pPr>
        <w:pStyle w:val="ListBullet"/>
      </w:pPr>
      <w:r>
        <w:t>Assets pass seamlessly to surviving spouse without re-titling</w:t>
      </w:r>
    </w:p>
    <w:p>
      <w:pPr>
        <w:pStyle w:val="ListBullet"/>
      </w:pPr>
      <w:r>
        <w:t>Upon second death, assets flow to Lifetime Heritage Trusts for daughters</w:t>
      </w:r>
    </w:p>
    <w:p/>
    <w:p>
      <w:pPr>
        <w:pStyle w:val="Heading2"/>
      </w:pPr>
      <w:r>
        <w:t>Key Trust Provisions Required:</w:t>
      </w:r>
    </w:p>
    <w:tbl>
      <w:tblPr>
        <w:tblStyle w:val="TableGrid"/>
        <w:tblW w:type="auto" w:w="0"/>
        <w:jc w:val="center"/>
        <w:tblLook w:firstColumn="1" w:firstRow="1" w:lastColumn="0" w:lastRow="0" w:noHBand="0" w:noVBand="1" w:val="04A0"/>
      </w:tblPr>
      <w:tblGrid>
        <w:gridCol w:w="4320"/>
        <w:gridCol w:w="4320"/>
      </w:tblGrid>
      <w:tr>
        <w:tc>
          <w:tcPr>
            <w:tcW w:type="dxa" w:w="4320"/>
            <w:shd w:fill="1F4E79"/>
          </w:tcPr>
          <w:p>
            <w:pPr>
              <w:jc w:val="center"/>
            </w:pPr>
            <w:r>
              <w:rPr>
                <w:b/>
                <w:color w:val="FFFFFF"/>
                <w:sz w:val="20"/>
              </w:rPr>
              <w:t>Provision</w:t>
            </w:r>
          </w:p>
        </w:tc>
        <w:tc>
          <w:tcPr>
            <w:tcW w:type="dxa" w:w="4320"/>
            <w:shd w:fill="1F4E79"/>
          </w:tcPr>
          <w:p>
            <w:pPr>
              <w:jc w:val="center"/>
            </w:pPr>
            <w:r>
              <w:rPr>
                <w:b/>
                <w:color w:val="FFFFFF"/>
                <w:sz w:val="20"/>
              </w:rPr>
              <w:t>Purpose</w:t>
            </w:r>
          </w:p>
        </w:tc>
      </w:tr>
      <w:tr>
        <w:tc>
          <w:tcPr>
            <w:tcW w:type="dxa" w:w="4320"/>
          </w:tcPr>
          <w:p>
            <w:pPr>
              <w:jc w:val="left"/>
            </w:pPr>
            <w:r>
              <w:rPr>
                <w:sz w:val="20"/>
              </w:rPr>
              <w:t>A/B Trust Split (at first death)</w:t>
            </w:r>
          </w:p>
        </w:tc>
        <w:tc>
          <w:tcPr>
            <w:tcW w:type="dxa" w:w="4320"/>
          </w:tcPr>
          <w:p>
            <w:pPr>
              <w:jc w:val="center"/>
            </w:pPr>
            <w:r>
              <w:rPr>
                <w:sz w:val="20"/>
              </w:rPr>
              <w:t>Shelter first spouse's exemption in Bypass/Credit Shelter trust</w:t>
            </w:r>
          </w:p>
        </w:tc>
      </w:tr>
      <w:tr>
        <w:tc>
          <w:tcPr>
            <w:tcW w:type="dxa" w:w="4320"/>
            <w:shd w:fill="D6E3F8"/>
          </w:tcPr>
          <w:p>
            <w:pPr>
              <w:jc w:val="left"/>
            </w:pPr>
            <w:r>
              <w:rPr>
                <w:sz w:val="20"/>
              </w:rPr>
              <w:t>Disclaimer Provisions</w:t>
            </w:r>
          </w:p>
        </w:tc>
        <w:tc>
          <w:tcPr>
            <w:tcW w:type="dxa" w:w="4320"/>
            <w:shd w:fill="D6E3F8"/>
          </w:tcPr>
          <w:p>
            <w:pPr>
              <w:jc w:val="center"/>
            </w:pPr>
            <w:r>
              <w:rPr>
                <w:sz w:val="20"/>
              </w:rPr>
              <w:t>Flexibility to disclaim into bypass trust based on exemption at death</w:t>
            </w:r>
          </w:p>
        </w:tc>
      </w:tr>
      <w:tr>
        <w:tc>
          <w:tcPr>
            <w:tcW w:type="dxa" w:w="4320"/>
          </w:tcPr>
          <w:p>
            <w:pPr>
              <w:jc w:val="left"/>
            </w:pPr>
            <w:r>
              <w:rPr>
                <w:sz w:val="20"/>
              </w:rPr>
              <w:t>QTIP Election</w:t>
            </w:r>
          </w:p>
        </w:tc>
        <w:tc>
          <w:tcPr>
            <w:tcW w:type="dxa" w:w="4320"/>
          </w:tcPr>
          <w:p>
            <w:pPr>
              <w:jc w:val="center"/>
            </w:pPr>
            <w:r>
              <w:rPr>
                <w:sz w:val="20"/>
              </w:rPr>
              <w:t>Allow portability flexibility while maintaining control</w:t>
            </w:r>
          </w:p>
        </w:tc>
      </w:tr>
      <w:tr>
        <w:tc>
          <w:tcPr>
            <w:tcW w:type="dxa" w:w="4320"/>
            <w:shd w:fill="D6E3F8"/>
          </w:tcPr>
          <w:p>
            <w:pPr>
              <w:jc w:val="left"/>
            </w:pPr>
            <w:r>
              <w:rPr>
                <w:sz w:val="20"/>
              </w:rPr>
              <w:t>Incapacity Provisions</w:t>
            </w:r>
          </w:p>
        </w:tc>
        <w:tc>
          <w:tcPr>
            <w:tcW w:type="dxa" w:w="4320"/>
            <w:shd w:fill="D6E3F8"/>
          </w:tcPr>
          <w:p>
            <w:pPr>
              <w:jc w:val="center"/>
            </w:pPr>
            <w:r>
              <w:rPr>
                <w:sz w:val="20"/>
              </w:rPr>
              <w:t>Successor trustee steps in seamlessly</w:t>
            </w:r>
          </w:p>
        </w:tc>
      </w:tr>
    </w:tbl>
    <w:p/>
    <w:p>
      <w:pPr>
        <w:pStyle w:val="Heading2"/>
      </w:pPr>
      <w:r>
        <w:t>Incapacity Planning Requirements:</w:t>
      </w:r>
    </w:p>
    <w:p>
      <w:pPr>
        <w:pStyle w:val="ListBullet"/>
      </w:pPr>
      <w:r>
        <w:t>Disability Panel: Two physicians must certify incapacity before successor trustee acts</w:t>
      </w:r>
    </w:p>
    <w:p>
      <w:pPr>
        <w:pStyle w:val="ListBullet"/>
      </w:pPr>
      <w:r>
        <w:t>HIPAA Authorization: Allows trustees to access medical records</w:t>
      </w:r>
    </w:p>
    <w:p>
      <w:pPr>
        <w:pStyle w:val="ListBullet"/>
      </w:pPr>
      <w:r>
        <w:t>Durable Power of Attorney: Separate document for non-trust assets</w:t>
      </w:r>
    </w:p>
    <w:p>
      <w:pPr>
        <w:pStyle w:val="ListBullet"/>
      </w:pPr>
      <w:r>
        <w:t>Healthcare Power of Attorney + Living Will: Medical decision-making authority</w:t>
      </w:r>
    </w:p>
    <w:p>
      <w:r>
        <w:br w:type="page"/>
      </w:r>
    </w:p>
    <w:p>
      <w:pPr>
        <w:pStyle w:val="Heading1"/>
      </w:pPr>
      <w:r>
        <w:t>3. Wealth Transfer Tax Strategy: The 2026 Sunset Crisis</w:t>
      </w:r>
    </w:p>
    <w:p>
      <w:pPr>
        <w:pStyle w:val="Heading2"/>
      </w:pPr>
      <w:r>
        <w:t>The Problem</w:t>
      </w:r>
    </w:p>
    <w:p>
      <w:r>
        <w:rPr>
          <w:sz w:val="22"/>
        </w:rPr>
        <w:t xml:space="preserve">The Tax Cuts and Jobs Act of 2017 doubled the federal estate tax exemption, but this provision </w:t>
      </w:r>
      <w:r>
        <w:rPr>
          <w:b/>
        </w:rPr>
        <w:t>sunsets on December 31, 2025</w:t>
      </w:r>
      <w:r>
        <w:t>. Without Congressional action, exemptions will revert to approximately half their current levels.</w:t>
      </w:r>
    </w:p>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fill="8B0000"/>
          </w:tcPr>
          <w:p>
            <w:pPr>
              <w:jc w:val="center"/>
            </w:pPr>
            <w:r>
              <w:rPr>
                <w:b/>
                <w:color w:val="FFFFFF"/>
                <w:sz w:val="20"/>
              </w:rPr>
              <w:t>Scenario</w:t>
            </w:r>
          </w:p>
        </w:tc>
        <w:tc>
          <w:tcPr>
            <w:tcW w:type="dxa" w:w="2160"/>
            <w:shd w:fill="8B0000"/>
          </w:tcPr>
          <w:p>
            <w:pPr>
              <w:jc w:val="center"/>
            </w:pPr>
            <w:r>
              <w:rPr>
                <w:b/>
                <w:color w:val="FFFFFF"/>
                <w:sz w:val="20"/>
              </w:rPr>
              <w:t>Federal Exemption</w:t>
            </w:r>
          </w:p>
        </w:tc>
        <w:tc>
          <w:tcPr>
            <w:tcW w:type="dxa" w:w="2160"/>
            <w:shd w:fill="8B0000"/>
          </w:tcPr>
          <w:p>
            <w:pPr>
              <w:jc w:val="center"/>
            </w:pPr>
            <w:r>
              <w:rPr>
                <w:b/>
                <w:color w:val="FFFFFF"/>
                <w:sz w:val="20"/>
              </w:rPr>
              <w:t>Your 2036 Estate</w:t>
            </w:r>
          </w:p>
        </w:tc>
        <w:tc>
          <w:tcPr>
            <w:tcW w:type="dxa" w:w="2160"/>
            <w:shd w:fill="8B0000"/>
          </w:tcPr>
          <w:p>
            <w:pPr>
              <w:jc w:val="center"/>
            </w:pPr>
            <w:r>
              <w:rPr>
                <w:b/>
                <w:color w:val="FFFFFF"/>
                <w:sz w:val="20"/>
              </w:rPr>
              <w:t>Estate Tax Exposure</w:t>
            </w:r>
          </w:p>
        </w:tc>
      </w:tr>
      <w:tr>
        <w:tc>
          <w:tcPr>
            <w:tcW w:type="dxa" w:w="2160"/>
          </w:tcPr>
          <w:p>
            <w:pPr>
              <w:jc w:val="left"/>
            </w:pPr>
            <w:r>
              <w:rPr>
                <w:sz w:val="20"/>
              </w:rPr>
              <w:t>Current Law (2024)</w:t>
            </w:r>
          </w:p>
        </w:tc>
        <w:tc>
          <w:tcPr>
            <w:tcW w:type="dxa" w:w="2160"/>
          </w:tcPr>
          <w:p>
            <w:pPr>
              <w:jc w:val="center"/>
            </w:pPr>
            <w:r>
              <w:rPr>
                <w:sz w:val="20"/>
              </w:rPr>
              <w:t>$13.61M/person</w:t>
            </w:r>
          </w:p>
        </w:tc>
        <w:tc>
          <w:tcPr>
            <w:tcW w:type="dxa" w:w="2160"/>
          </w:tcPr>
          <w:p>
            <w:pPr>
              <w:jc w:val="center"/>
            </w:pPr>
            <w:r>
              <w:rPr>
                <w:sz w:val="20"/>
              </w:rPr>
              <w:t>$17.4M</w:t>
            </w:r>
          </w:p>
        </w:tc>
        <w:tc>
          <w:tcPr>
            <w:tcW w:type="dxa" w:w="2160"/>
          </w:tcPr>
          <w:p>
            <w:pPr>
              <w:jc w:val="center"/>
            </w:pPr>
            <w:r>
              <w:rPr>
                <w:sz w:val="20"/>
              </w:rPr>
              <w:t>~$1.5M taxable = $600K tax</w:t>
            </w:r>
          </w:p>
        </w:tc>
      </w:tr>
      <w:tr>
        <w:tc>
          <w:tcPr>
            <w:tcW w:type="dxa" w:w="2160"/>
            <w:shd w:fill="D6E3F8"/>
          </w:tcPr>
          <w:p>
            <w:pPr>
              <w:jc w:val="left"/>
            </w:pPr>
            <w:r>
              <w:rPr>
                <w:sz w:val="20"/>
              </w:rPr>
              <w:t>Post-2026 Sunset</w:t>
            </w:r>
          </w:p>
        </w:tc>
        <w:tc>
          <w:tcPr>
            <w:tcW w:type="dxa" w:w="2160"/>
            <w:shd w:fill="D6E3F8"/>
          </w:tcPr>
          <w:p>
            <w:pPr>
              <w:jc w:val="center"/>
            </w:pPr>
            <w:r>
              <w:rPr>
                <w:sz w:val="20"/>
              </w:rPr>
              <w:t>~$7M/person</w:t>
            </w:r>
          </w:p>
        </w:tc>
        <w:tc>
          <w:tcPr>
            <w:tcW w:type="dxa" w:w="2160"/>
            <w:shd w:fill="D6E3F8"/>
          </w:tcPr>
          <w:p>
            <w:pPr>
              <w:jc w:val="center"/>
            </w:pPr>
            <w:r>
              <w:rPr>
                <w:sz w:val="20"/>
              </w:rPr>
              <w:t>$17.4M</w:t>
            </w:r>
          </w:p>
        </w:tc>
        <w:tc>
          <w:tcPr>
            <w:tcW w:type="dxa" w:w="2160"/>
            <w:shd w:fill="D6E3F8"/>
          </w:tcPr>
          <w:p>
            <w:pPr>
              <w:jc w:val="center"/>
            </w:pPr>
            <w:r>
              <w:rPr>
                <w:sz w:val="20"/>
              </w:rPr>
              <w:t>~$10.4M taxable = $4.16M tax</w:t>
            </w:r>
          </w:p>
        </w:tc>
      </w:tr>
      <w:tr>
        <w:tc>
          <w:tcPr>
            <w:tcW w:type="dxa" w:w="2160"/>
          </w:tcPr>
          <w:p>
            <w:pPr>
              <w:jc w:val="left"/>
            </w:pPr>
            <w:r>
              <w:rPr>
                <w:sz w:val="20"/>
              </w:rPr>
              <w:t>2045 Projection</w:t>
            </w:r>
          </w:p>
        </w:tc>
        <w:tc>
          <w:tcPr>
            <w:tcW w:type="dxa" w:w="2160"/>
          </w:tcPr>
          <w:p>
            <w:pPr>
              <w:jc w:val="center"/>
            </w:pPr>
            <w:r>
              <w:rPr>
                <w:sz w:val="20"/>
              </w:rPr>
              <w:t>~$8M/person</w:t>
            </w:r>
          </w:p>
        </w:tc>
        <w:tc>
          <w:tcPr>
            <w:tcW w:type="dxa" w:w="2160"/>
          </w:tcPr>
          <w:p>
            <w:pPr>
              <w:jc w:val="center"/>
            </w:pPr>
            <w:r>
              <w:rPr>
                <w:sz w:val="20"/>
              </w:rPr>
              <w:t>$20.5M</w:t>
            </w:r>
          </w:p>
        </w:tc>
        <w:tc>
          <w:tcPr>
            <w:tcW w:type="dxa" w:w="2160"/>
          </w:tcPr>
          <w:p>
            <w:pPr>
              <w:jc w:val="center"/>
            </w:pPr>
            <w:r>
              <w:rPr>
                <w:sz w:val="20"/>
              </w:rPr>
              <w:t>~$12.5M taxable = $5M tax</w:t>
            </w:r>
          </w:p>
        </w:tc>
      </w:tr>
    </w:tbl>
    <w:p/>
    <w:p>
      <w:pPr>
        <w:jc w:val="center"/>
      </w:pPr>
      <w:r>
        <w:rPr>
          <w:b/>
          <w:color w:val="8B0000"/>
        </w:rPr>
        <w:t>This is a $4-5 million problem that requires action before December 31, 2025.</w:t>
      </w:r>
    </w:p>
    <w:p>
      <w:r>
        <w:br w:type="page"/>
      </w:r>
    </w:p>
    <w:p>
      <w:pPr>
        <w:pStyle w:val="Heading1"/>
      </w:pPr>
      <w:r>
        <w:t>4. Recommended Irrevocable Trust Structures</w:t>
      </w:r>
    </w:p>
    <w:p>
      <w:pPr>
        <w:pStyle w:val="Heading2"/>
      </w:pPr>
      <w:r>
        <w:t>Strategy A: Spousal Lifetime Access Trusts (SLATs)</w:t>
      </w:r>
    </w:p>
    <w:tbl>
      <w:tblPr>
        <w:tblStyle w:val="TableGrid"/>
        <w:tblW w:type="auto" w:w="0"/>
        <w:jc w:val="center"/>
        <w:tblLook w:firstColumn="1" w:firstRow="1" w:lastColumn="0" w:lastRow="0" w:noHBand="0" w:noVBand="1" w:val="04A0"/>
      </w:tblPr>
      <w:tblGrid>
        <w:gridCol w:w="4320"/>
        <w:gridCol w:w="4320"/>
      </w:tblGrid>
      <w:tr>
        <w:tc>
          <w:tcPr>
            <w:tcW w:type="dxa" w:w="4320"/>
            <w:shd w:fill="2E7D32"/>
          </w:tcPr>
          <w:p>
            <w:pPr>
              <w:jc w:val="center"/>
            </w:pPr>
            <w:r>
              <w:rPr>
                <w:b/>
                <w:color w:val="FFFFFF"/>
                <w:sz w:val="20"/>
              </w:rPr>
              <w:t>Element</w:t>
            </w:r>
          </w:p>
        </w:tc>
        <w:tc>
          <w:tcPr>
            <w:tcW w:type="dxa" w:w="4320"/>
            <w:shd w:fill="2E7D32"/>
          </w:tcPr>
          <w:p>
            <w:pPr>
              <w:jc w:val="center"/>
            </w:pPr>
            <w:r>
              <w:rPr>
                <w:b/>
                <w:color w:val="FFFFFF"/>
                <w:sz w:val="20"/>
              </w:rPr>
              <w:t>Details</w:t>
            </w:r>
          </w:p>
        </w:tc>
      </w:tr>
      <w:tr>
        <w:tc>
          <w:tcPr>
            <w:tcW w:type="dxa" w:w="4320"/>
          </w:tcPr>
          <w:p>
            <w:pPr>
              <w:jc w:val="left"/>
            </w:pPr>
            <w:r>
              <w:rPr>
                <w:sz w:val="20"/>
              </w:rPr>
              <w:t>What it is</w:t>
            </w:r>
          </w:p>
        </w:tc>
        <w:tc>
          <w:tcPr>
            <w:tcW w:type="dxa" w:w="4320"/>
          </w:tcPr>
          <w:p>
            <w:pPr>
              <w:jc w:val="center"/>
            </w:pPr>
            <w:r>
              <w:rPr>
                <w:sz w:val="20"/>
              </w:rPr>
              <w:t>Bob creates irrevocable trust for Susan's benefit (and vice versa)</w:t>
            </w:r>
          </w:p>
        </w:tc>
      </w:tr>
      <w:tr>
        <w:tc>
          <w:tcPr>
            <w:tcW w:type="dxa" w:w="4320"/>
            <w:shd w:fill="D6E3F8"/>
          </w:tcPr>
          <w:p>
            <w:pPr>
              <w:jc w:val="left"/>
            </w:pPr>
            <w:r>
              <w:rPr>
                <w:sz w:val="20"/>
              </w:rPr>
              <w:t>Gift Amount</w:t>
            </w:r>
          </w:p>
        </w:tc>
        <w:tc>
          <w:tcPr>
            <w:tcW w:type="dxa" w:w="4320"/>
            <w:shd w:fill="D6E3F8"/>
          </w:tcPr>
          <w:p>
            <w:pPr>
              <w:jc w:val="center"/>
            </w:pPr>
            <w:r>
              <w:rPr>
                <w:sz w:val="20"/>
              </w:rPr>
              <w:t>Transfer up to $13.61M (2024) before sunset</w:t>
            </w:r>
          </w:p>
        </w:tc>
      </w:tr>
      <w:tr>
        <w:tc>
          <w:tcPr>
            <w:tcW w:type="dxa" w:w="4320"/>
          </w:tcPr>
          <w:p>
            <w:pPr>
              <w:jc w:val="left"/>
            </w:pPr>
            <w:r>
              <w:rPr>
                <w:sz w:val="20"/>
              </w:rPr>
              <w:t>Access</w:t>
            </w:r>
          </w:p>
        </w:tc>
        <w:tc>
          <w:tcPr>
            <w:tcW w:type="dxa" w:w="4320"/>
          </w:tcPr>
          <w:p>
            <w:pPr>
              <w:jc w:val="center"/>
            </w:pPr>
            <w:r>
              <w:rPr>
                <w:sz w:val="20"/>
              </w:rPr>
              <w:t>Surviving spouse receives distributions for health, education, maintenance, support</w:t>
            </w:r>
          </w:p>
        </w:tc>
      </w:tr>
      <w:tr>
        <w:tc>
          <w:tcPr>
            <w:tcW w:type="dxa" w:w="4320"/>
            <w:shd w:fill="D6E3F8"/>
          </w:tcPr>
          <w:p>
            <w:pPr>
              <w:jc w:val="left"/>
            </w:pPr>
            <w:r>
              <w:rPr>
                <w:sz w:val="20"/>
              </w:rPr>
              <w:t>Estate Tax Result</w:t>
            </w:r>
          </w:p>
        </w:tc>
        <w:tc>
          <w:tcPr>
            <w:tcW w:type="dxa" w:w="4320"/>
            <w:shd w:fill="D6E3F8"/>
          </w:tcPr>
          <w:p>
            <w:pPr>
              <w:jc w:val="center"/>
            </w:pPr>
            <w:r>
              <w:rPr>
                <w:sz w:val="20"/>
              </w:rPr>
              <w:t>Assets removed from both estates permanently</w:t>
            </w:r>
          </w:p>
        </w:tc>
      </w:tr>
      <w:tr>
        <w:tc>
          <w:tcPr>
            <w:tcW w:type="dxa" w:w="4320"/>
          </w:tcPr>
          <w:p>
            <w:pPr>
              <w:jc w:val="left"/>
            </w:pPr>
            <w:r>
              <w:rPr>
                <w:sz w:val="20"/>
              </w:rPr>
              <w:t>Best For</w:t>
            </w:r>
          </w:p>
        </w:tc>
        <w:tc>
          <w:tcPr>
            <w:tcW w:type="dxa" w:w="4320"/>
          </w:tcPr>
          <w:p>
            <w:pPr>
              <w:jc w:val="center"/>
            </w:pPr>
            <w:r>
              <w:rPr>
                <w:sz w:val="20"/>
              </w:rPr>
              <w:t>Your Wells Fargo cash ($1.97M) - liquid, non-retirement assets</w:t>
            </w:r>
          </w:p>
        </w:tc>
      </w:tr>
    </w:tbl>
    <w:p/>
    <w:p>
      <w:r>
        <w:rPr>
          <w:b/>
        </w:rPr>
        <w:t xml:space="preserve">Caution: </w:t>
      </w:r>
      <w:r>
        <w:t>Reciprocal Trust Doctrine - trusts must have meaningful differences to avoid IRS challenge.</w:t>
      </w:r>
    </w:p>
    <w:p/>
    <w:p>
      <w:pPr>
        <w:pStyle w:val="Heading2"/>
      </w:pPr>
      <w:r>
        <w:t>Strategy B: Intentionally Defective Grantor Trusts (IDGTs)</w:t>
      </w:r>
    </w:p>
    <w:tbl>
      <w:tblPr>
        <w:tblStyle w:val="TableGrid"/>
        <w:tblW w:type="auto" w:w="0"/>
        <w:jc w:val="center"/>
        <w:tblLook w:firstColumn="1" w:firstRow="1" w:lastColumn="0" w:lastRow="0" w:noHBand="0" w:noVBand="1" w:val="04A0"/>
      </w:tblPr>
      <w:tblGrid>
        <w:gridCol w:w="4320"/>
        <w:gridCol w:w="4320"/>
      </w:tblGrid>
      <w:tr>
        <w:tc>
          <w:tcPr>
            <w:tcW w:type="dxa" w:w="4320"/>
            <w:shd w:fill="1565C0"/>
          </w:tcPr>
          <w:p>
            <w:pPr>
              <w:jc w:val="center"/>
            </w:pPr>
            <w:r>
              <w:rPr>
                <w:b/>
                <w:color w:val="FFFFFF"/>
                <w:sz w:val="20"/>
              </w:rPr>
              <w:t>Element</w:t>
            </w:r>
          </w:p>
        </w:tc>
        <w:tc>
          <w:tcPr>
            <w:tcW w:type="dxa" w:w="4320"/>
            <w:shd w:fill="1565C0"/>
          </w:tcPr>
          <w:p>
            <w:pPr>
              <w:jc w:val="center"/>
            </w:pPr>
            <w:r>
              <w:rPr>
                <w:b/>
                <w:color w:val="FFFFFF"/>
                <w:sz w:val="20"/>
              </w:rPr>
              <w:t>Details</w:t>
            </w:r>
          </w:p>
        </w:tc>
      </w:tr>
      <w:tr>
        <w:tc>
          <w:tcPr>
            <w:tcW w:type="dxa" w:w="4320"/>
          </w:tcPr>
          <w:p>
            <w:pPr>
              <w:jc w:val="left"/>
            </w:pPr>
            <w:r>
              <w:rPr>
                <w:sz w:val="20"/>
              </w:rPr>
              <w:t>What it is</w:t>
            </w:r>
          </w:p>
        </w:tc>
        <w:tc>
          <w:tcPr>
            <w:tcW w:type="dxa" w:w="4320"/>
          </w:tcPr>
          <w:p>
            <w:pPr>
              <w:jc w:val="center"/>
            </w:pPr>
            <w:r>
              <w:rPr>
                <w:sz w:val="20"/>
              </w:rPr>
              <w:t>Irrevocable trust where grantor pays income tax (trust grows tax-free)</w:t>
            </w:r>
          </w:p>
        </w:tc>
      </w:tr>
      <w:tr>
        <w:tc>
          <w:tcPr>
            <w:tcW w:type="dxa" w:w="4320"/>
            <w:shd w:fill="D6E3F8"/>
          </w:tcPr>
          <w:p>
            <w:pPr>
              <w:jc w:val="left"/>
            </w:pPr>
            <w:r>
              <w:rPr>
                <w:sz w:val="20"/>
              </w:rPr>
              <w:t>Technique</w:t>
            </w:r>
          </w:p>
        </w:tc>
        <w:tc>
          <w:tcPr>
            <w:tcW w:type="dxa" w:w="4320"/>
            <w:shd w:fill="D6E3F8"/>
          </w:tcPr>
          <w:p>
            <w:pPr>
              <w:jc w:val="center"/>
            </w:pPr>
            <w:r>
              <w:rPr>
                <w:sz w:val="20"/>
              </w:rPr>
              <w:t>'Sell' assets to IDGT in exchange for promissory note (current AFR ~5%)</w:t>
            </w:r>
          </w:p>
        </w:tc>
      </w:tr>
      <w:tr>
        <w:tc>
          <w:tcPr>
            <w:tcW w:type="dxa" w:w="4320"/>
          </w:tcPr>
          <w:p>
            <w:pPr>
              <w:jc w:val="left"/>
            </w:pPr>
            <w:r>
              <w:rPr>
                <w:sz w:val="20"/>
              </w:rPr>
              <w:t>Why it works</w:t>
            </w:r>
          </w:p>
        </w:tc>
        <w:tc>
          <w:tcPr>
            <w:tcW w:type="dxa" w:w="4320"/>
          </w:tcPr>
          <w:p>
            <w:pPr>
              <w:jc w:val="center"/>
            </w:pPr>
            <w:r>
              <w:rPr>
                <w:sz w:val="20"/>
              </w:rPr>
              <w:t>If assets grow &gt;5%, excess passes to daughters tax-free</w:t>
            </w:r>
          </w:p>
        </w:tc>
      </w:tr>
      <w:tr>
        <w:tc>
          <w:tcPr>
            <w:tcW w:type="dxa" w:w="4320"/>
            <w:shd w:fill="D6E3F8"/>
          </w:tcPr>
          <w:p>
            <w:pPr>
              <w:jc w:val="left"/>
            </w:pPr>
            <w:r>
              <w:rPr>
                <w:sz w:val="20"/>
              </w:rPr>
              <w:t>Best For</w:t>
            </w:r>
          </w:p>
        </w:tc>
        <w:tc>
          <w:tcPr>
            <w:tcW w:type="dxa" w:w="4320"/>
            <w:shd w:fill="D6E3F8"/>
          </w:tcPr>
          <w:p>
            <w:pPr>
              <w:jc w:val="center"/>
            </w:pPr>
            <w:r>
              <w:rPr>
                <w:sz w:val="20"/>
              </w:rPr>
              <w:t>Future Roth conversions - growth assets with high expected return</w:t>
            </w:r>
          </w:p>
        </w:tc>
      </w:tr>
    </w:tbl>
    <w:p/>
    <w:p>
      <w:pPr>
        <w:pStyle w:val="Heading2"/>
      </w:pPr>
      <w:r>
        <w:t>Strategy C: Qualified Personal Residence Trust (QPRT)</w:t>
      </w:r>
    </w:p>
    <w:tbl>
      <w:tblPr>
        <w:tblStyle w:val="TableGrid"/>
        <w:tblW w:type="auto" w:w="0"/>
        <w:jc w:val="center"/>
        <w:tblLook w:firstColumn="1" w:firstRow="1" w:lastColumn="0" w:lastRow="0" w:noHBand="0" w:noVBand="1" w:val="04A0"/>
      </w:tblPr>
      <w:tblGrid>
        <w:gridCol w:w="4320"/>
        <w:gridCol w:w="4320"/>
      </w:tblGrid>
      <w:tr>
        <w:tc>
          <w:tcPr>
            <w:tcW w:type="dxa" w:w="4320"/>
            <w:shd w:fill="6A1B9A"/>
          </w:tcPr>
          <w:p>
            <w:pPr>
              <w:jc w:val="center"/>
            </w:pPr>
            <w:r>
              <w:rPr>
                <w:b/>
                <w:color w:val="FFFFFF"/>
                <w:sz w:val="20"/>
              </w:rPr>
              <w:t>Element</w:t>
            </w:r>
          </w:p>
        </w:tc>
        <w:tc>
          <w:tcPr>
            <w:tcW w:type="dxa" w:w="4320"/>
            <w:shd w:fill="6A1B9A"/>
          </w:tcPr>
          <w:p>
            <w:pPr>
              <w:jc w:val="center"/>
            </w:pPr>
            <w:r>
              <w:rPr>
                <w:b/>
                <w:color w:val="FFFFFF"/>
                <w:sz w:val="20"/>
              </w:rPr>
              <w:t>Details</w:t>
            </w:r>
          </w:p>
        </w:tc>
      </w:tr>
      <w:tr>
        <w:tc>
          <w:tcPr>
            <w:tcW w:type="dxa" w:w="4320"/>
          </w:tcPr>
          <w:p>
            <w:pPr>
              <w:jc w:val="left"/>
            </w:pPr>
            <w:r>
              <w:rPr>
                <w:sz w:val="20"/>
              </w:rPr>
              <w:t>What it is</w:t>
            </w:r>
          </w:p>
        </w:tc>
        <w:tc>
          <w:tcPr>
            <w:tcW w:type="dxa" w:w="4320"/>
          </w:tcPr>
          <w:p>
            <w:pPr>
              <w:jc w:val="center"/>
            </w:pPr>
            <w:r>
              <w:rPr>
                <w:sz w:val="20"/>
              </w:rPr>
              <w:t>Transfer Lake Murray home to trust, retain right to live there for X years</w:t>
            </w:r>
          </w:p>
        </w:tc>
      </w:tr>
      <w:tr>
        <w:tc>
          <w:tcPr>
            <w:tcW w:type="dxa" w:w="4320"/>
            <w:shd w:fill="D6E3F8"/>
          </w:tcPr>
          <w:p>
            <w:pPr>
              <w:jc w:val="left"/>
            </w:pPr>
            <w:r>
              <w:rPr>
                <w:sz w:val="20"/>
              </w:rPr>
              <w:t>Valuation Discount</w:t>
            </w:r>
          </w:p>
        </w:tc>
        <w:tc>
          <w:tcPr>
            <w:tcW w:type="dxa" w:w="4320"/>
            <w:shd w:fill="D6E3F8"/>
          </w:tcPr>
          <w:p>
            <w:pPr>
              <w:jc w:val="center"/>
            </w:pPr>
            <w:r>
              <w:rPr>
                <w:sz w:val="20"/>
              </w:rPr>
              <w:t>$3.4M home may transfer at $1.8-2.2M gift value</w:t>
            </w:r>
          </w:p>
        </w:tc>
      </w:tr>
      <w:tr>
        <w:tc>
          <w:tcPr>
            <w:tcW w:type="dxa" w:w="4320"/>
          </w:tcPr>
          <w:p>
            <w:pPr>
              <w:jc w:val="left"/>
            </w:pPr>
            <w:r>
              <w:rPr>
                <w:sz w:val="20"/>
              </w:rPr>
              <w:t>Risk</w:t>
            </w:r>
          </w:p>
        </w:tc>
        <w:tc>
          <w:tcPr>
            <w:tcW w:type="dxa" w:w="4320"/>
          </w:tcPr>
          <w:p>
            <w:pPr>
              <w:jc w:val="center"/>
            </w:pPr>
            <w:r>
              <w:rPr>
                <w:sz w:val="20"/>
              </w:rPr>
              <w:t>Must survive the term; can lease back at FMV after term ends</w:t>
            </w:r>
          </w:p>
        </w:tc>
      </w:tr>
      <w:tr>
        <w:tc>
          <w:tcPr>
            <w:tcW w:type="dxa" w:w="4320"/>
            <w:shd w:fill="D6E3F8"/>
          </w:tcPr>
          <w:p>
            <w:pPr>
              <w:jc w:val="left"/>
            </w:pPr>
            <w:r>
              <w:rPr>
                <w:sz w:val="20"/>
              </w:rPr>
              <w:t>Best For</w:t>
            </w:r>
          </w:p>
        </w:tc>
        <w:tc>
          <w:tcPr>
            <w:tcW w:type="dxa" w:w="4320"/>
            <w:shd w:fill="D6E3F8"/>
          </w:tcPr>
          <w:p>
            <w:pPr>
              <w:jc w:val="center"/>
            </w:pPr>
            <w:r>
              <w:rPr>
                <w:sz w:val="20"/>
              </w:rPr>
              <w:t>Your Lake Murray Estate - significant equity, long time horizon</w:t>
            </w:r>
          </w:p>
        </w:tc>
      </w:tr>
    </w:tbl>
    <w:p/>
    <w:p>
      <w:pPr>
        <w:pStyle w:val="Heading2"/>
      </w:pPr>
      <w:r>
        <w:t>Why These Strategies Beat Simple Bequests</w:t>
      </w:r>
    </w:p>
    <w:tbl>
      <w:tblPr>
        <w:tblStyle w:val="TableGrid"/>
        <w:tblW w:type="auto" w:w="0"/>
        <w:jc w:val="center"/>
        <w:tblLook w:firstColumn="1" w:firstRow="1" w:lastColumn="0" w:lastRow="0" w:noHBand="0" w:noVBand="1" w:val="04A0"/>
      </w:tblPr>
      <w:tblGrid>
        <w:gridCol w:w="4320"/>
        <w:gridCol w:w="4320"/>
      </w:tblGrid>
      <w:tr>
        <w:tc>
          <w:tcPr>
            <w:tcW w:type="dxa" w:w="4320"/>
            <w:shd w:fill="1F4E79"/>
          </w:tcPr>
          <w:p>
            <w:pPr>
              <w:jc w:val="center"/>
            </w:pPr>
            <w:r>
              <w:rPr>
                <w:b/>
                <w:color w:val="FFFFFF"/>
                <w:sz w:val="20"/>
              </w:rPr>
              <w:t>Simple Bequest</w:t>
            </w:r>
          </w:p>
        </w:tc>
        <w:tc>
          <w:tcPr>
            <w:tcW w:type="dxa" w:w="4320"/>
            <w:shd w:fill="1F4E79"/>
          </w:tcPr>
          <w:p>
            <w:pPr>
              <w:jc w:val="center"/>
            </w:pPr>
            <w:r>
              <w:rPr>
                <w:b/>
                <w:color w:val="FFFFFF"/>
                <w:sz w:val="20"/>
              </w:rPr>
              <w:t>Advanced Trust Strategy</w:t>
            </w:r>
          </w:p>
        </w:tc>
      </w:tr>
      <w:tr>
        <w:tc>
          <w:tcPr>
            <w:tcW w:type="dxa" w:w="4320"/>
          </w:tcPr>
          <w:p>
            <w:pPr>
              <w:jc w:val="left"/>
            </w:pPr>
            <w:r>
              <w:rPr>
                <w:sz w:val="20"/>
              </w:rPr>
              <w:t>Full value in estate at death</w:t>
            </w:r>
          </w:p>
        </w:tc>
        <w:tc>
          <w:tcPr>
            <w:tcW w:type="dxa" w:w="4320"/>
          </w:tcPr>
          <w:p>
            <w:pPr>
              <w:jc w:val="center"/>
            </w:pPr>
            <w:r>
              <w:rPr>
                <w:sz w:val="20"/>
              </w:rPr>
              <w:t>Removed from estate today</w:t>
            </w:r>
          </w:p>
        </w:tc>
      </w:tr>
      <w:tr>
        <w:tc>
          <w:tcPr>
            <w:tcW w:type="dxa" w:w="4320"/>
            <w:shd w:fill="D6E3F8"/>
          </w:tcPr>
          <w:p>
            <w:pPr>
              <w:jc w:val="left"/>
            </w:pPr>
            <w:r>
              <w:rPr>
                <w:sz w:val="20"/>
              </w:rPr>
              <w:t>Subject to 40% estate tax</w:t>
            </w:r>
          </w:p>
        </w:tc>
        <w:tc>
          <w:tcPr>
            <w:tcW w:type="dxa" w:w="4320"/>
            <w:shd w:fill="D6E3F8"/>
          </w:tcPr>
          <w:p>
            <w:pPr>
              <w:jc w:val="center"/>
            </w:pPr>
            <w:r>
              <w:rPr>
                <w:sz w:val="20"/>
              </w:rPr>
              <w:t>Grows outside estate tax-free</w:t>
            </w:r>
          </w:p>
        </w:tc>
      </w:tr>
      <w:tr>
        <w:tc>
          <w:tcPr>
            <w:tcW w:type="dxa" w:w="4320"/>
          </w:tcPr>
          <w:p>
            <w:pPr>
              <w:jc w:val="left"/>
            </w:pPr>
            <w:r>
              <w:rPr>
                <w:sz w:val="20"/>
              </w:rPr>
              <w:t>No asset protection for daughters</w:t>
            </w:r>
          </w:p>
        </w:tc>
        <w:tc>
          <w:tcPr>
            <w:tcW w:type="dxa" w:w="4320"/>
          </w:tcPr>
          <w:p>
            <w:pPr>
              <w:jc w:val="center"/>
            </w:pPr>
            <w:r>
              <w:rPr>
                <w:sz w:val="20"/>
              </w:rPr>
              <w:t>Lifetime protection in trust</w:t>
            </w:r>
          </w:p>
        </w:tc>
      </w:tr>
      <w:tr>
        <w:tc>
          <w:tcPr>
            <w:tcW w:type="dxa" w:w="4320"/>
            <w:shd w:fill="D6E3F8"/>
          </w:tcPr>
          <w:p>
            <w:pPr>
              <w:jc w:val="left"/>
            </w:pPr>
            <w:r>
              <w:rPr>
                <w:sz w:val="20"/>
              </w:rPr>
              <w:t>No creditor protection</w:t>
            </w:r>
          </w:p>
        </w:tc>
        <w:tc>
          <w:tcPr>
            <w:tcW w:type="dxa" w:w="4320"/>
            <w:shd w:fill="D6E3F8"/>
          </w:tcPr>
          <w:p>
            <w:pPr>
              <w:jc w:val="center"/>
            </w:pPr>
            <w:r>
              <w:rPr>
                <w:sz w:val="20"/>
              </w:rPr>
              <w:t>Spendthrift protection</w:t>
            </w:r>
          </w:p>
        </w:tc>
      </w:tr>
      <w:tr>
        <w:tc>
          <w:tcPr>
            <w:tcW w:type="dxa" w:w="4320"/>
          </w:tcPr>
          <w:p>
            <w:pPr>
              <w:jc w:val="left"/>
            </w:pPr>
            <w:r>
              <w:rPr>
                <w:sz w:val="20"/>
              </w:rPr>
              <w:t>Subject to daughters' divorce</w:t>
            </w:r>
          </w:p>
        </w:tc>
        <w:tc>
          <w:tcPr>
            <w:tcW w:type="dxa" w:w="4320"/>
          </w:tcPr>
          <w:p>
            <w:pPr>
              <w:jc w:val="center"/>
            </w:pPr>
            <w:r>
              <w:rPr>
                <w:sz w:val="20"/>
              </w:rPr>
              <w:t>Divorce-proof</w:t>
            </w:r>
          </w:p>
        </w:tc>
      </w:tr>
    </w:tbl>
    <w:p>
      <w:r>
        <w:br w:type="page"/>
      </w:r>
    </w:p>
    <w:p>
      <w:pPr>
        <w:pStyle w:val="Heading1"/>
      </w:pPr>
      <w:r>
        <w:t>5. Asset Protection for Daughters: Lifetime Heritage Trusts</w:t>
      </w:r>
    </w:p>
    <w:p>
      <w:r>
        <w:rPr>
          <w:sz w:val="22"/>
        </w:rPr>
        <w:t xml:space="preserve">Your existing plan mentions </w:t>
      </w:r>
      <w:r>
        <w:rPr>
          <w:b/>
        </w:rPr>
        <w:t>Lifetime Heritage Trusts</w:t>
      </w:r>
      <w:r>
        <w:t xml:space="preserve"> for the daughters. Here's how to optimize them under South Carolina law:</w:t>
      </w:r>
    </w:p>
    <w:p/>
    <w:p>
      <w:pPr>
        <w:pStyle w:val="Heading2"/>
      </w:pPr>
      <w:r>
        <w:t>Spendthrift Clause (SC Code § 62-7-502)</w:t>
      </w:r>
    </w:p>
    <w:p>
      <w:pPr>
        <w:ind w:left="720" w:right="720"/>
      </w:pPr>
      <w:r>
        <w:rPr>
          <w:i/>
        </w:rPr>
        <w:t>"No interest in the trust principal or income shall be subject to the claims of any creditor of a beneficiary, any spouse of a beneficiary, or any former spouse of a beneficiary."</w:t>
      </w:r>
    </w:p>
    <w:p/>
    <w:p>
      <w:r>
        <w:t>This is enforceable in South Carolina and prevents:</w:t>
      </w:r>
    </w:p>
    <w:p>
      <w:pPr>
        <w:pStyle w:val="ListBullet"/>
      </w:pPr>
      <w:r>
        <w:t>Creditor attachments</w:t>
      </w:r>
    </w:p>
    <w:p>
      <w:pPr>
        <w:pStyle w:val="ListBullet"/>
      </w:pPr>
      <w:r>
        <w:t>Divorce claims (ex-spouse cannot claim trust assets)</w:t>
      </w:r>
    </w:p>
    <w:p>
      <w:pPr>
        <w:pStyle w:val="ListBullet"/>
      </w:pPr>
      <w:r>
        <w:t>Lawsuit judgments</w:t>
      </w:r>
    </w:p>
    <w:p>
      <w:pPr>
        <w:pStyle w:val="ListBullet"/>
      </w:pPr>
      <w:r>
        <w:t>Bankruptcy proceedings</w:t>
      </w:r>
    </w:p>
    <w:p/>
    <w:p>
      <w:pPr>
        <w:pStyle w:val="Heading2"/>
      </w:pPr>
      <w:r>
        <w:t>Trustee Selection Recommendations</w:t>
      </w:r>
    </w:p>
    <w:tbl>
      <w:tblPr>
        <w:tblStyle w:val="TableGrid"/>
        <w:tblW w:type="auto" w:w="0"/>
        <w:jc w:val="center"/>
        <w:tblLook w:firstColumn="1" w:firstRow="1" w:lastColumn="0" w:lastRow="0" w:noHBand="0" w:noVBand="1" w:val="04A0"/>
      </w:tblPr>
      <w:tblGrid>
        <w:gridCol w:w="4320"/>
        <w:gridCol w:w="4320"/>
      </w:tblGrid>
      <w:tr>
        <w:tc>
          <w:tcPr>
            <w:tcW w:type="dxa" w:w="4320"/>
            <w:shd w:fill="1F4E79"/>
          </w:tcPr>
          <w:p>
            <w:pPr>
              <w:jc w:val="center"/>
            </w:pPr>
            <w:r>
              <w:rPr>
                <w:b/>
                <w:color w:val="FFFFFF"/>
                <w:sz w:val="20"/>
              </w:rPr>
              <w:t>Role</w:t>
            </w:r>
          </w:p>
        </w:tc>
        <w:tc>
          <w:tcPr>
            <w:tcW w:type="dxa" w:w="4320"/>
            <w:shd w:fill="1F4E79"/>
          </w:tcPr>
          <w:p>
            <w:pPr>
              <w:jc w:val="center"/>
            </w:pPr>
            <w:r>
              <w:rPr>
                <w:b/>
                <w:color w:val="FFFFFF"/>
                <w:sz w:val="20"/>
              </w:rPr>
              <w:t>Recommendation</w:t>
            </w:r>
          </w:p>
        </w:tc>
      </w:tr>
      <w:tr>
        <w:tc>
          <w:tcPr>
            <w:tcW w:type="dxa" w:w="4320"/>
          </w:tcPr>
          <w:p>
            <w:pPr>
              <w:jc w:val="left"/>
            </w:pPr>
            <w:r>
              <w:rPr>
                <w:sz w:val="20"/>
              </w:rPr>
              <w:t>Professional Co-Trustee</w:t>
            </w:r>
          </w:p>
        </w:tc>
        <w:tc>
          <w:tcPr>
            <w:tcW w:type="dxa" w:w="4320"/>
          </w:tcPr>
          <w:p>
            <w:pPr>
              <w:jc w:val="center"/>
            </w:pPr>
            <w:r>
              <w:rPr>
                <w:sz w:val="20"/>
              </w:rPr>
              <w:t>Consider corporate trustee for large balances (removes family conflict)</w:t>
            </w:r>
          </w:p>
        </w:tc>
      </w:tr>
      <w:tr>
        <w:tc>
          <w:tcPr>
            <w:tcW w:type="dxa" w:w="4320"/>
            <w:shd w:fill="D6E3F8"/>
          </w:tcPr>
          <w:p>
            <w:pPr>
              <w:jc w:val="left"/>
            </w:pPr>
            <w:r>
              <w:rPr>
                <w:sz w:val="20"/>
              </w:rPr>
              <w:t>Trust Protector</w:t>
            </w:r>
          </w:p>
        </w:tc>
        <w:tc>
          <w:tcPr>
            <w:tcW w:type="dxa" w:w="4320"/>
            <w:shd w:fill="D6E3F8"/>
          </w:tcPr>
          <w:p>
            <w:pPr>
              <w:jc w:val="center"/>
            </w:pPr>
            <w:r>
              <w:rPr>
                <w:sz w:val="20"/>
              </w:rPr>
              <w:t>Independent party who can modify trust for tax law changes, remove trustees</w:t>
            </w:r>
          </w:p>
        </w:tc>
      </w:tr>
      <w:tr>
        <w:tc>
          <w:tcPr>
            <w:tcW w:type="dxa" w:w="4320"/>
          </w:tcPr>
          <w:p>
            <w:pPr>
              <w:jc w:val="left"/>
            </w:pPr>
            <w:r>
              <w:rPr>
                <w:sz w:val="20"/>
              </w:rPr>
              <w:t>Distribution Advisor</w:t>
            </w:r>
          </w:p>
        </w:tc>
        <w:tc>
          <w:tcPr>
            <w:tcW w:type="dxa" w:w="4320"/>
          </w:tcPr>
          <w:p>
            <w:pPr>
              <w:jc w:val="center"/>
            </w:pPr>
            <w:r>
              <w:rPr>
                <w:sz w:val="20"/>
              </w:rPr>
              <w:t>Can be family member who advises on discretionary distributions</w:t>
            </w:r>
          </w:p>
        </w:tc>
      </w:tr>
    </w:tbl>
    <w:p/>
    <w:p>
      <w:pPr>
        <w:pStyle w:val="Heading2"/>
      </w:pPr>
      <w:r>
        <w:t>See-Through Conduit Trust Requirements (for 10-Year Stretch)</w:t>
      </w:r>
    </w:p>
    <w:tbl>
      <w:tblPr>
        <w:tblStyle w:val="TableGrid"/>
        <w:tblW w:type="auto" w:w="0"/>
        <w:jc w:val="center"/>
        <w:tblLook w:firstColumn="1" w:firstRow="1" w:lastColumn="0" w:lastRow="0" w:noHBand="0" w:noVBand="1" w:val="04A0"/>
      </w:tblPr>
      <w:tblGrid>
        <w:gridCol w:w="4320"/>
        <w:gridCol w:w="4320"/>
      </w:tblGrid>
      <w:tr>
        <w:tc>
          <w:tcPr>
            <w:tcW w:type="dxa" w:w="4320"/>
            <w:shd w:fill="1F4E79"/>
          </w:tcPr>
          <w:p>
            <w:pPr>
              <w:jc w:val="center"/>
            </w:pPr>
            <w:r>
              <w:rPr>
                <w:b/>
                <w:color w:val="FFFFFF"/>
                <w:sz w:val="20"/>
              </w:rPr>
              <w:t>Requirement</w:t>
            </w:r>
          </w:p>
        </w:tc>
        <w:tc>
          <w:tcPr>
            <w:tcW w:type="dxa" w:w="4320"/>
            <w:shd w:fill="1F4E79"/>
          </w:tcPr>
          <w:p>
            <w:pPr>
              <w:jc w:val="center"/>
            </w:pPr>
            <w:r>
              <w:rPr>
                <w:b/>
                <w:color w:val="FFFFFF"/>
                <w:sz w:val="20"/>
              </w:rPr>
              <w:t>Your Trust Status</w:t>
            </w:r>
          </w:p>
        </w:tc>
      </w:tr>
      <w:tr>
        <w:tc>
          <w:tcPr>
            <w:tcW w:type="dxa" w:w="4320"/>
          </w:tcPr>
          <w:p>
            <w:pPr>
              <w:jc w:val="left"/>
            </w:pPr>
            <w:r>
              <w:rPr>
                <w:sz w:val="20"/>
              </w:rPr>
              <w:t>Valid under state law</w:t>
            </w:r>
          </w:p>
        </w:tc>
        <w:tc>
          <w:tcPr>
            <w:tcW w:type="dxa" w:w="4320"/>
          </w:tcPr>
          <w:p>
            <w:pPr>
              <w:jc w:val="center"/>
            </w:pPr>
            <w:r>
              <w:rPr>
                <w:sz w:val="20"/>
              </w:rPr>
              <w:t>✓ Established under SC law</w:t>
            </w:r>
          </w:p>
        </w:tc>
      </w:tr>
      <w:tr>
        <w:tc>
          <w:tcPr>
            <w:tcW w:type="dxa" w:w="4320"/>
            <w:shd w:fill="D6E3F8"/>
          </w:tcPr>
          <w:p>
            <w:pPr>
              <w:jc w:val="left"/>
            </w:pPr>
            <w:r>
              <w:rPr>
                <w:sz w:val="20"/>
              </w:rPr>
              <w:t>Irrevocable at death</w:t>
            </w:r>
          </w:p>
        </w:tc>
        <w:tc>
          <w:tcPr>
            <w:tcW w:type="dxa" w:w="4320"/>
            <w:shd w:fill="D6E3F8"/>
          </w:tcPr>
          <w:p>
            <w:pPr>
              <w:jc w:val="center"/>
            </w:pPr>
            <w:r>
              <w:rPr>
                <w:sz w:val="20"/>
              </w:rPr>
              <w:t>✓ Becomes irrevocable</w:t>
            </w:r>
          </w:p>
        </w:tc>
      </w:tr>
      <w:tr>
        <w:tc>
          <w:tcPr>
            <w:tcW w:type="dxa" w:w="4320"/>
          </w:tcPr>
          <w:p>
            <w:pPr>
              <w:jc w:val="left"/>
            </w:pPr>
            <w:r>
              <w:rPr>
                <w:sz w:val="20"/>
              </w:rPr>
              <w:t>Beneficiaries identifiable</w:t>
            </w:r>
          </w:p>
        </w:tc>
        <w:tc>
          <w:tcPr>
            <w:tcW w:type="dxa" w:w="4320"/>
          </w:tcPr>
          <w:p>
            <w:pPr>
              <w:jc w:val="center"/>
            </w:pPr>
            <w:r>
              <w:rPr>
                <w:sz w:val="20"/>
              </w:rPr>
              <w:t>✓ Two daughters named</w:t>
            </w:r>
          </w:p>
        </w:tc>
      </w:tr>
      <w:tr>
        <w:tc>
          <w:tcPr>
            <w:tcW w:type="dxa" w:w="4320"/>
            <w:shd w:fill="D6E3F8"/>
          </w:tcPr>
          <w:p>
            <w:pPr>
              <w:jc w:val="left"/>
            </w:pPr>
            <w:r>
              <w:rPr>
                <w:sz w:val="20"/>
              </w:rPr>
              <w:t>Trust document provided to custodian</w:t>
            </w:r>
          </w:p>
        </w:tc>
        <w:tc>
          <w:tcPr>
            <w:tcW w:type="dxa" w:w="4320"/>
            <w:shd w:fill="D6E3F8"/>
          </w:tcPr>
          <w:p>
            <w:pPr>
              <w:jc w:val="center"/>
            </w:pPr>
            <w:r>
              <w:rPr>
                <w:sz w:val="20"/>
              </w:rPr>
              <w:t>⚠ Must provide within deadline</w:t>
            </w:r>
          </w:p>
        </w:tc>
      </w:tr>
    </w:tbl>
    <w:p>
      <w:r>
        <w:br w:type="page"/>
      </w:r>
    </w:p>
    <w:p>
      <w:pPr>
        <w:pStyle w:val="Heading1"/>
      </w:pPr>
      <w:r>
        <w:t>6. Tax Implications: Federal vs. South Carolina</w:t>
      </w:r>
    </w:p>
    <w:p>
      <w:pPr>
        <w:pStyle w:val="Heading2"/>
      </w:pPr>
      <w:r>
        <w:t>The Good News: No SC Estate Tax</w:t>
      </w:r>
    </w:p>
    <w:p>
      <w:r>
        <w:rPr>
          <w:sz w:val="22"/>
        </w:rPr>
        <w:t xml:space="preserve">South Carolina </w:t>
      </w:r>
      <w:r>
        <w:rPr>
          <w:b/>
        </w:rPr>
        <w:t>does not have a state estate tax or inheritance tax</w:t>
      </w:r>
      <w:r>
        <w:t>. Your only exposure is at the federal level.</w:t>
      </w:r>
    </w:p>
    <w:p/>
    <w:p>
      <w:pPr>
        <w:pStyle w:val="Heading2"/>
      </w:pPr>
      <w:r>
        <w:t>Federal Estate Tax Landscape</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fill="1F4E79"/>
          </w:tcPr>
          <w:p>
            <w:pPr>
              <w:jc w:val="center"/>
            </w:pPr>
            <w:r>
              <w:rPr>
                <w:b/>
                <w:color w:val="FFFFFF"/>
                <w:sz w:val="20"/>
              </w:rPr>
              <w:t>Factor</w:t>
            </w:r>
          </w:p>
        </w:tc>
        <w:tc>
          <w:tcPr>
            <w:tcW w:type="dxa" w:w="2880"/>
            <w:shd w:fill="1F4E79"/>
          </w:tcPr>
          <w:p>
            <w:pPr>
              <w:jc w:val="center"/>
            </w:pPr>
            <w:r>
              <w:rPr>
                <w:b/>
                <w:color w:val="FFFFFF"/>
                <w:sz w:val="20"/>
              </w:rPr>
              <w:t>Current (2024)</w:t>
            </w:r>
          </w:p>
        </w:tc>
        <w:tc>
          <w:tcPr>
            <w:tcW w:type="dxa" w:w="2880"/>
            <w:shd w:fill="1F4E79"/>
          </w:tcPr>
          <w:p>
            <w:pPr>
              <w:jc w:val="center"/>
            </w:pPr>
            <w:r>
              <w:rPr>
                <w:b/>
                <w:color w:val="FFFFFF"/>
                <w:sz w:val="20"/>
              </w:rPr>
              <w:t>Post-2026 Sunset</w:t>
            </w:r>
          </w:p>
        </w:tc>
      </w:tr>
      <w:tr>
        <w:tc>
          <w:tcPr>
            <w:tcW w:type="dxa" w:w="2880"/>
          </w:tcPr>
          <w:p>
            <w:pPr>
              <w:jc w:val="left"/>
            </w:pPr>
            <w:r>
              <w:rPr>
                <w:sz w:val="20"/>
              </w:rPr>
              <w:t>Exemption</w:t>
            </w:r>
          </w:p>
        </w:tc>
        <w:tc>
          <w:tcPr>
            <w:tcW w:type="dxa" w:w="2880"/>
          </w:tcPr>
          <w:p>
            <w:pPr>
              <w:jc w:val="center"/>
            </w:pPr>
            <w:r>
              <w:rPr>
                <w:sz w:val="20"/>
              </w:rPr>
              <w:t>$13.61M/person ($27.22M couple)</w:t>
            </w:r>
          </w:p>
        </w:tc>
        <w:tc>
          <w:tcPr>
            <w:tcW w:type="dxa" w:w="2880"/>
          </w:tcPr>
          <w:p>
            <w:pPr>
              <w:jc w:val="center"/>
            </w:pPr>
            <w:r>
              <w:rPr>
                <w:sz w:val="20"/>
              </w:rPr>
              <w:t>~$7M/person (~$14M couple)</w:t>
            </w:r>
          </w:p>
        </w:tc>
      </w:tr>
      <w:tr>
        <w:tc>
          <w:tcPr>
            <w:tcW w:type="dxa" w:w="2880"/>
            <w:shd w:fill="D6E3F8"/>
          </w:tcPr>
          <w:p>
            <w:pPr>
              <w:jc w:val="left"/>
            </w:pPr>
            <w:r>
              <w:rPr>
                <w:sz w:val="20"/>
              </w:rPr>
              <w:t>Top Rate</w:t>
            </w:r>
          </w:p>
        </w:tc>
        <w:tc>
          <w:tcPr>
            <w:tcW w:type="dxa" w:w="2880"/>
            <w:shd w:fill="D6E3F8"/>
          </w:tcPr>
          <w:p>
            <w:pPr>
              <w:jc w:val="center"/>
            </w:pPr>
            <w:r>
              <w:rPr>
                <w:sz w:val="20"/>
              </w:rPr>
              <w:t>40%</w:t>
            </w:r>
          </w:p>
        </w:tc>
        <w:tc>
          <w:tcPr>
            <w:tcW w:type="dxa" w:w="2880"/>
            <w:shd w:fill="D6E3F8"/>
          </w:tcPr>
          <w:p>
            <w:pPr>
              <w:jc w:val="center"/>
            </w:pPr>
            <w:r>
              <w:rPr>
                <w:sz w:val="20"/>
              </w:rPr>
              <w:t>40%</w:t>
            </w:r>
          </w:p>
        </w:tc>
      </w:tr>
      <w:tr>
        <w:tc>
          <w:tcPr>
            <w:tcW w:type="dxa" w:w="2880"/>
          </w:tcPr>
          <w:p>
            <w:pPr>
              <w:jc w:val="left"/>
            </w:pPr>
            <w:r>
              <w:rPr>
                <w:sz w:val="20"/>
              </w:rPr>
              <w:t>Portability</w:t>
            </w:r>
          </w:p>
        </w:tc>
        <w:tc>
          <w:tcPr>
            <w:tcW w:type="dxa" w:w="2880"/>
          </w:tcPr>
          <w:p>
            <w:pPr>
              <w:jc w:val="center"/>
            </w:pPr>
            <w:r>
              <w:rPr>
                <w:sz w:val="20"/>
              </w:rPr>
              <w:t>Yes</w:t>
            </w:r>
          </w:p>
        </w:tc>
        <w:tc>
          <w:tcPr>
            <w:tcW w:type="dxa" w:w="2880"/>
          </w:tcPr>
          <w:p>
            <w:pPr>
              <w:jc w:val="center"/>
            </w:pPr>
            <w:r>
              <w:rPr>
                <w:sz w:val="20"/>
              </w:rPr>
              <w:t>Yes</w:t>
            </w:r>
          </w:p>
        </w:tc>
      </w:tr>
      <w:tr>
        <w:tc>
          <w:tcPr>
            <w:tcW w:type="dxa" w:w="2880"/>
            <w:shd w:fill="D6E3F8"/>
          </w:tcPr>
          <w:p>
            <w:pPr>
              <w:jc w:val="left"/>
            </w:pPr>
            <w:r>
              <w:rPr>
                <w:sz w:val="20"/>
              </w:rPr>
              <w:t>Your Exposure</w:t>
            </w:r>
          </w:p>
        </w:tc>
        <w:tc>
          <w:tcPr>
            <w:tcW w:type="dxa" w:w="2880"/>
            <w:shd w:fill="D6E3F8"/>
          </w:tcPr>
          <w:p>
            <w:pPr>
              <w:jc w:val="center"/>
            </w:pPr>
            <w:r>
              <w:rPr>
                <w:sz w:val="20"/>
              </w:rPr>
              <w:t>Minimal (under combined exemption)</w:t>
            </w:r>
          </w:p>
        </w:tc>
        <w:tc>
          <w:tcPr>
            <w:tcW w:type="dxa" w:w="2880"/>
            <w:shd w:fill="D6E3F8"/>
          </w:tcPr>
          <w:p>
            <w:pPr>
              <w:jc w:val="center"/>
            </w:pPr>
            <w:r>
              <w:rPr>
                <w:sz w:val="20"/>
              </w:rPr>
              <w:t>Significant ($3-5M taxable)</w:t>
            </w:r>
          </w:p>
        </w:tc>
      </w:tr>
    </w:tbl>
    <w:p/>
    <w:p>
      <w:pPr>
        <w:pStyle w:val="Heading2"/>
      </w:pPr>
      <w:r>
        <w:t>Tax Minimization Strategy</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fill="2E7D32"/>
          </w:tcPr>
          <w:p>
            <w:pPr>
              <w:jc w:val="center"/>
            </w:pPr>
            <w:r>
              <w:rPr>
                <w:b/>
                <w:color w:val="FFFFFF"/>
                <w:sz w:val="20"/>
              </w:rPr>
              <w:t>Action</w:t>
            </w:r>
          </w:p>
        </w:tc>
        <w:tc>
          <w:tcPr>
            <w:tcW w:type="dxa" w:w="2880"/>
            <w:shd w:fill="2E7D32"/>
          </w:tcPr>
          <w:p>
            <w:pPr>
              <w:jc w:val="center"/>
            </w:pPr>
            <w:r>
              <w:rPr>
                <w:b/>
                <w:color w:val="FFFFFF"/>
                <w:sz w:val="20"/>
              </w:rPr>
              <w:t>Timing</w:t>
            </w:r>
          </w:p>
        </w:tc>
        <w:tc>
          <w:tcPr>
            <w:tcW w:type="dxa" w:w="2880"/>
            <w:shd w:fill="2E7D32"/>
          </w:tcPr>
          <w:p>
            <w:pPr>
              <w:jc w:val="center"/>
            </w:pPr>
            <w:r>
              <w:rPr>
                <w:b/>
                <w:color w:val="FFFFFF"/>
                <w:sz w:val="20"/>
              </w:rPr>
              <w:t>Estimated Tax Savings</w:t>
            </w:r>
          </w:p>
        </w:tc>
      </w:tr>
      <w:tr>
        <w:tc>
          <w:tcPr>
            <w:tcW w:type="dxa" w:w="2880"/>
          </w:tcPr>
          <w:p>
            <w:pPr>
              <w:jc w:val="left"/>
            </w:pPr>
            <w:r>
              <w:rPr>
                <w:sz w:val="20"/>
              </w:rPr>
              <w:t>Max Roth Conversions</w:t>
            </w:r>
          </w:p>
        </w:tc>
        <w:tc>
          <w:tcPr>
            <w:tcW w:type="dxa" w:w="2880"/>
          </w:tcPr>
          <w:p>
            <w:pPr>
              <w:jc w:val="center"/>
            </w:pPr>
            <w:r>
              <w:rPr>
                <w:sz w:val="20"/>
              </w:rPr>
              <w:t>2027-2032</w:t>
            </w:r>
          </w:p>
        </w:tc>
        <w:tc>
          <w:tcPr>
            <w:tcW w:type="dxa" w:w="2880"/>
          </w:tcPr>
          <w:p>
            <w:pPr>
              <w:jc w:val="center"/>
            </w:pPr>
            <w:r>
              <w:rPr>
                <w:sz w:val="20"/>
              </w:rPr>
              <w:t>$800K - $1.2M</w:t>
            </w:r>
          </w:p>
        </w:tc>
      </w:tr>
      <w:tr>
        <w:tc>
          <w:tcPr>
            <w:tcW w:type="dxa" w:w="2880"/>
            <w:shd w:fill="D6E3F8"/>
          </w:tcPr>
          <w:p>
            <w:pPr>
              <w:jc w:val="left"/>
            </w:pPr>
            <w:r>
              <w:rPr>
                <w:sz w:val="20"/>
              </w:rPr>
              <w:t>SLAT Funding</w:t>
            </w:r>
          </w:p>
        </w:tc>
        <w:tc>
          <w:tcPr>
            <w:tcW w:type="dxa" w:w="2880"/>
            <w:shd w:fill="D6E3F8"/>
          </w:tcPr>
          <w:p>
            <w:pPr>
              <w:jc w:val="center"/>
            </w:pPr>
            <w:r>
              <w:rPr>
                <w:sz w:val="20"/>
              </w:rPr>
              <w:t>Before Dec 31, 2025</w:t>
            </w:r>
          </w:p>
        </w:tc>
        <w:tc>
          <w:tcPr>
            <w:tcW w:type="dxa" w:w="2880"/>
            <w:shd w:fill="D6E3F8"/>
          </w:tcPr>
          <w:p>
            <w:pPr>
              <w:jc w:val="center"/>
            </w:pPr>
            <w:r>
              <w:rPr>
                <w:sz w:val="20"/>
              </w:rPr>
              <w:t>$788K+</w:t>
            </w:r>
          </w:p>
        </w:tc>
      </w:tr>
      <w:tr>
        <w:tc>
          <w:tcPr>
            <w:tcW w:type="dxa" w:w="2880"/>
          </w:tcPr>
          <w:p>
            <w:pPr>
              <w:jc w:val="left"/>
            </w:pPr>
            <w:r>
              <w:rPr>
                <w:sz w:val="20"/>
              </w:rPr>
              <w:t>QPRT for Lake Murray</w:t>
            </w:r>
          </w:p>
        </w:tc>
        <w:tc>
          <w:tcPr>
            <w:tcW w:type="dxa" w:w="2880"/>
          </w:tcPr>
          <w:p>
            <w:pPr>
              <w:jc w:val="center"/>
            </w:pPr>
            <w:r>
              <w:rPr>
                <w:sz w:val="20"/>
              </w:rPr>
              <w:t>2025</w:t>
            </w:r>
          </w:p>
        </w:tc>
        <w:tc>
          <w:tcPr>
            <w:tcW w:type="dxa" w:w="2880"/>
          </w:tcPr>
          <w:p>
            <w:pPr>
              <w:jc w:val="center"/>
            </w:pPr>
            <w:r>
              <w:rPr>
                <w:sz w:val="20"/>
              </w:rPr>
              <w:t>$600K+</w:t>
            </w:r>
          </w:p>
        </w:tc>
      </w:tr>
      <w:tr>
        <w:tc>
          <w:tcPr>
            <w:tcW w:type="dxa" w:w="2880"/>
            <w:shd w:fill="D6E3F8"/>
          </w:tcPr>
          <w:p>
            <w:pPr>
              <w:jc w:val="left"/>
            </w:pPr>
            <w:r>
              <w:rPr>
                <w:sz w:val="20"/>
              </w:rPr>
              <w:t>Annual Exclusion Gifts</w:t>
            </w:r>
          </w:p>
        </w:tc>
        <w:tc>
          <w:tcPr>
            <w:tcW w:type="dxa" w:w="2880"/>
            <w:shd w:fill="D6E3F8"/>
          </w:tcPr>
          <w:p>
            <w:pPr>
              <w:jc w:val="center"/>
            </w:pPr>
            <w:r>
              <w:rPr>
                <w:sz w:val="20"/>
              </w:rPr>
              <w:t>Ongoing</w:t>
            </w:r>
          </w:p>
        </w:tc>
        <w:tc>
          <w:tcPr>
            <w:tcW w:type="dxa" w:w="2880"/>
            <w:shd w:fill="D6E3F8"/>
          </w:tcPr>
          <w:p>
            <w:pPr>
              <w:jc w:val="center"/>
            </w:pPr>
            <w:r>
              <w:rPr>
                <w:sz w:val="20"/>
              </w:rPr>
              <w:t>$14K+/year</w:t>
            </w:r>
          </w:p>
        </w:tc>
      </w:tr>
      <w:tr>
        <w:tc>
          <w:tcPr>
            <w:tcW w:type="dxa" w:w="2880"/>
          </w:tcPr>
          <w:p>
            <w:pPr>
              <w:jc w:val="left"/>
            </w:pPr>
            <w:r>
              <w:rPr>
                <w:sz w:val="20"/>
              </w:rPr>
              <w:t>529 Superfunding (if grandchildren)</w:t>
            </w:r>
          </w:p>
        </w:tc>
        <w:tc>
          <w:tcPr>
            <w:tcW w:type="dxa" w:w="2880"/>
          </w:tcPr>
          <w:p>
            <w:pPr>
              <w:jc w:val="center"/>
            </w:pPr>
            <w:r>
              <w:rPr>
                <w:sz w:val="20"/>
              </w:rPr>
              <w:t>As applicable</w:t>
            </w:r>
          </w:p>
        </w:tc>
        <w:tc>
          <w:tcPr>
            <w:tcW w:type="dxa" w:w="2880"/>
          </w:tcPr>
          <w:p>
            <w:pPr>
              <w:jc w:val="center"/>
            </w:pPr>
            <w:r>
              <w:rPr>
                <w:sz w:val="20"/>
              </w:rPr>
              <w:t>$90K (5-year front-load)</w:t>
            </w:r>
          </w:p>
        </w:tc>
      </w:tr>
    </w:tbl>
    <w:p>
      <w:r>
        <w:br w:type="page"/>
      </w:r>
    </w:p>
    <w:p>
      <w:pPr>
        <w:pStyle w:val="Heading1"/>
      </w:pPr>
      <w:r>
        <w:t>7. Immediate Next Steps &amp; Action Items</w:t>
      </w:r>
    </w:p>
    <w:p>
      <w:pPr>
        <w:pStyle w:val="Heading2"/>
      </w:pPr>
      <w:r>
        <w:t>Documents to Gather</w:t>
      </w:r>
    </w:p>
    <w:tbl>
      <w:tblPr>
        <w:tblStyle w:val="TableGrid"/>
        <w:tblW w:type="auto" w:w="0"/>
        <w:jc w:val="center"/>
        <w:tblLook w:firstColumn="1" w:firstRow="1" w:lastColumn="0" w:lastRow="0" w:noHBand="0" w:noVBand="1" w:val="04A0"/>
      </w:tblPr>
      <w:tblGrid>
        <w:gridCol w:w="4320"/>
        <w:gridCol w:w="4320"/>
      </w:tblGrid>
      <w:tr>
        <w:tc>
          <w:tcPr>
            <w:tcW w:type="dxa" w:w="4320"/>
            <w:shd w:fill="1F4E79"/>
          </w:tcPr>
          <w:p>
            <w:pPr>
              <w:jc w:val="center"/>
            </w:pPr>
            <w:r>
              <w:rPr>
                <w:b/>
                <w:color w:val="FFFFFF"/>
                <w:sz w:val="20"/>
              </w:rPr>
              <w:t>Category</w:t>
            </w:r>
          </w:p>
        </w:tc>
        <w:tc>
          <w:tcPr>
            <w:tcW w:type="dxa" w:w="4320"/>
            <w:shd w:fill="1F4E79"/>
          </w:tcPr>
          <w:p>
            <w:pPr>
              <w:jc w:val="center"/>
            </w:pPr>
            <w:r>
              <w:rPr>
                <w:b/>
                <w:color w:val="FFFFFF"/>
                <w:sz w:val="20"/>
              </w:rPr>
              <w:t>Specific Documents</w:t>
            </w:r>
          </w:p>
        </w:tc>
      </w:tr>
      <w:tr>
        <w:tc>
          <w:tcPr>
            <w:tcW w:type="dxa" w:w="4320"/>
          </w:tcPr>
          <w:p>
            <w:pPr>
              <w:jc w:val="left"/>
            </w:pPr>
            <w:r>
              <w:rPr>
                <w:sz w:val="20"/>
              </w:rPr>
              <w:t>Existing Estate Documents</w:t>
            </w:r>
          </w:p>
        </w:tc>
        <w:tc>
          <w:tcPr>
            <w:tcW w:type="dxa" w:w="4320"/>
          </w:tcPr>
          <w:p>
            <w:pPr>
              <w:jc w:val="center"/>
            </w:pPr>
            <w:r>
              <w:rPr>
                <w:sz w:val="20"/>
              </w:rPr>
              <w:t>Current wills, trusts, POAs (review for updates)</w:t>
            </w:r>
          </w:p>
        </w:tc>
      </w:tr>
      <w:tr>
        <w:tc>
          <w:tcPr>
            <w:tcW w:type="dxa" w:w="4320"/>
            <w:shd w:fill="D6E3F8"/>
          </w:tcPr>
          <w:p>
            <w:pPr>
              <w:jc w:val="left"/>
            </w:pPr>
            <w:r>
              <w:rPr>
                <w:sz w:val="20"/>
              </w:rPr>
              <w:t>Asset Statements</w:t>
            </w:r>
          </w:p>
        </w:tc>
        <w:tc>
          <w:tcPr>
            <w:tcW w:type="dxa" w:w="4320"/>
            <w:shd w:fill="D6E3F8"/>
          </w:tcPr>
          <w:p>
            <w:pPr>
              <w:jc w:val="center"/>
            </w:pPr>
            <w:r>
              <w:rPr>
                <w:sz w:val="20"/>
              </w:rPr>
              <w:t>All 5 accounts (Roth, Traditional, eTrade, Susan's IRA, Wells Fargo)</w:t>
            </w:r>
          </w:p>
        </w:tc>
      </w:tr>
      <w:tr>
        <w:tc>
          <w:tcPr>
            <w:tcW w:type="dxa" w:w="4320"/>
          </w:tcPr>
          <w:p>
            <w:pPr>
              <w:jc w:val="left"/>
            </w:pPr>
            <w:r>
              <w:rPr>
                <w:sz w:val="20"/>
              </w:rPr>
              <w:t>Real Estate</w:t>
            </w:r>
          </w:p>
        </w:tc>
        <w:tc>
          <w:tcPr>
            <w:tcW w:type="dxa" w:w="4320"/>
          </w:tcPr>
          <w:p>
            <w:pPr>
              <w:jc w:val="center"/>
            </w:pPr>
            <w:r>
              <w:rPr>
                <w:sz w:val="20"/>
              </w:rPr>
              <w:t>Lake Murray deed, mortgage statement, current appraisal</w:t>
            </w:r>
          </w:p>
        </w:tc>
      </w:tr>
      <w:tr>
        <w:tc>
          <w:tcPr>
            <w:tcW w:type="dxa" w:w="4320"/>
            <w:shd w:fill="D6E3F8"/>
          </w:tcPr>
          <w:p>
            <w:pPr>
              <w:jc w:val="left"/>
            </w:pPr>
            <w:r>
              <w:rPr>
                <w:sz w:val="20"/>
              </w:rPr>
              <w:t>Insurance</w:t>
            </w:r>
          </w:p>
        </w:tc>
        <w:tc>
          <w:tcPr>
            <w:tcW w:type="dxa" w:w="4320"/>
            <w:shd w:fill="D6E3F8"/>
          </w:tcPr>
          <w:p>
            <w:pPr>
              <w:jc w:val="center"/>
            </w:pPr>
            <w:r>
              <w:rPr>
                <w:sz w:val="20"/>
              </w:rPr>
              <w:t>Life insurance policies (check beneficiaries)</w:t>
            </w:r>
          </w:p>
        </w:tc>
      </w:tr>
      <w:tr>
        <w:tc>
          <w:tcPr>
            <w:tcW w:type="dxa" w:w="4320"/>
          </w:tcPr>
          <w:p>
            <w:pPr>
              <w:jc w:val="left"/>
            </w:pPr>
            <w:r>
              <w:rPr>
                <w:sz w:val="20"/>
              </w:rPr>
              <w:t>Business Interests</w:t>
            </w:r>
          </w:p>
        </w:tc>
        <w:tc>
          <w:tcPr>
            <w:tcW w:type="dxa" w:w="4320"/>
          </w:tcPr>
          <w:p>
            <w:pPr>
              <w:jc w:val="center"/>
            </w:pPr>
            <w:r>
              <w:rPr>
                <w:sz w:val="20"/>
              </w:rPr>
              <w:t>Any LLCs, partnerships, business ownership</w:t>
            </w:r>
          </w:p>
        </w:tc>
      </w:tr>
      <w:tr>
        <w:tc>
          <w:tcPr>
            <w:tcW w:type="dxa" w:w="4320"/>
            <w:shd w:fill="D6E3F8"/>
          </w:tcPr>
          <w:p>
            <w:pPr>
              <w:jc w:val="left"/>
            </w:pPr>
            <w:r>
              <w:rPr>
                <w:sz w:val="20"/>
              </w:rPr>
              <w:t>Beneficiary Designations</w:t>
            </w:r>
          </w:p>
        </w:tc>
        <w:tc>
          <w:tcPr>
            <w:tcW w:type="dxa" w:w="4320"/>
            <w:shd w:fill="D6E3F8"/>
          </w:tcPr>
          <w:p>
            <w:pPr>
              <w:jc w:val="center"/>
            </w:pPr>
            <w:r>
              <w:rPr>
                <w:sz w:val="20"/>
              </w:rPr>
              <w:t>Current designations on all IRAs (critical)</w:t>
            </w:r>
          </w:p>
        </w:tc>
      </w:tr>
    </w:tbl>
    <w:p/>
    <w:p>
      <w:pPr>
        <w:pStyle w:val="Heading2"/>
      </w:pPr>
      <w:r>
        <w:t>Information to Prepare</w:t>
      </w:r>
    </w:p>
    <w:tbl>
      <w:tblPr>
        <w:tblStyle w:val="TableGrid"/>
        <w:tblW w:type="auto" w:w="0"/>
        <w:jc w:val="center"/>
        <w:tblLook w:firstColumn="1" w:firstRow="1" w:lastColumn="0" w:lastRow="0" w:noHBand="0" w:noVBand="1" w:val="04A0"/>
      </w:tblPr>
      <w:tblGrid>
        <w:gridCol w:w="4320"/>
        <w:gridCol w:w="4320"/>
      </w:tblGrid>
      <w:tr>
        <w:tc>
          <w:tcPr>
            <w:tcW w:type="dxa" w:w="4320"/>
            <w:shd w:fill="1F4E79"/>
          </w:tcPr>
          <w:p>
            <w:pPr>
              <w:jc w:val="center"/>
            </w:pPr>
            <w:r>
              <w:rPr>
                <w:b/>
                <w:color w:val="FFFFFF"/>
                <w:sz w:val="20"/>
              </w:rPr>
              <w:t>Item</w:t>
            </w:r>
          </w:p>
        </w:tc>
        <w:tc>
          <w:tcPr>
            <w:tcW w:type="dxa" w:w="4320"/>
            <w:shd w:fill="1F4E79"/>
          </w:tcPr>
          <w:p>
            <w:pPr>
              <w:jc w:val="center"/>
            </w:pPr>
            <w:r>
              <w:rPr>
                <w:b/>
                <w:color w:val="FFFFFF"/>
                <w:sz w:val="20"/>
              </w:rPr>
              <w:t>Details Needed</w:t>
            </w:r>
          </w:p>
        </w:tc>
      </w:tr>
      <w:tr>
        <w:tc>
          <w:tcPr>
            <w:tcW w:type="dxa" w:w="4320"/>
          </w:tcPr>
          <w:p>
            <w:pPr>
              <w:jc w:val="left"/>
            </w:pPr>
            <w:r>
              <w:rPr>
                <w:sz w:val="20"/>
              </w:rPr>
              <w:t>Daughters' Information</w:t>
            </w:r>
          </w:p>
        </w:tc>
        <w:tc>
          <w:tcPr>
            <w:tcW w:type="dxa" w:w="4320"/>
          </w:tcPr>
          <w:p>
            <w:pPr>
              <w:jc w:val="center"/>
            </w:pPr>
            <w:r>
              <w:rPr>
                <w:sz w:val="20"/>
              </w:rPr>
              <w:t>Full names, DOB, addresses, SSN, marital status</w:t>
            </w:r>
          </w:p>
        </w:tc>
      </w:tr>
      <w:tr>
        <w:tc>
          <w:tcPr>
            <w:tcW w:type="dxa" w:w="4320"/>
            <w:shd w:fill="D6E3F8"/>
          </w:tcPr>
          <w:p>
            <w:pPr>
              <w:jc w:val="left"/>
            </w:pPr>
            <w:r>
              <w:rPr>
                <w:sz w:val="20"/>
              </w:rPr>
              <w:t>Successor Trustees</w:t>
            </w:r>
          </w:p>
        </w:tc>
        <w:tc>
          <w:tcPr>
            <w:tcW w:type="dxa" w:w="4320"/>
            <w:shd w:fill="D6E3F8"/>
          </w:tcPr>
          <w:p>
            <w:pPr>
              <w:jc w:val="center"/>
            </w:pPr>
            <w:r>
              <w:rPr>
                <w:sz w:val="20"/>
              </w:rPr>
              <w:t>Confirm Daughter A primary, Daughter B secondary</w:t>
            </w:r>
          </w:p>
        </w:tc>
      </w:tr>
      <w:tr>
        <w:tc>
          <w:tcPr>
            <w:tcW w:type="dxa" w:w="4320"/>
          </w:tcPr>
          <w:p>
            <w:pPr>
              <w:jc w:val="left"/>
            </w:pPr>
            <w:r>
              <w:rPr>
                <w:sz w:val="20"/>
              </w:rPr>
              <w:t>Trust Protector Candidate</w:t>
            </w:r>
          </w:p>
        </w:tc>
        <w:tc>
          <w:tcPr>
            <w:tcW w:type="dxa" w:w="4320"/>
          </w:tcPr>
          <w:p>
            <w:pPr>
              <w:jc w:val="center"/>
            </w:pPr>
            <w:r>
              <w:rPr>
                <w:sz w:val="20"/>
              </w:rPr>
              <w:t>Consider attorney, CPA, or trusted advisor</w:t>
            </w:r>
          </w:p>
        </w:tc>
      </w:tr>
      <w:tr>
        <w:tc>
          <w:tcPr>
            <w:tcW w:type="dxa" w:w="4320"/>
            <w:shd w:fill="D6E3F8"/>
          </w:tcPr>
          <w:p>
            <w:pPr>
              <w:jc w:val="left"/>
            </w:pPr>
            <w:r>
              <w:rPr>
                <w:sz w:val="20"/>
              </w:rPr>
              <w:t>Specific Bequests</w:t>
            </w:r>
          </w:p>
        </w:tc>
        <w:tc>
          <w:tcPr>
            <w:tcW w:type="dxa" w:w="4320"/>
            <w:shd w:fill="D6E3F8"/>
          </w:tcPr>
          <w:p>
            <w:pPr>
              <w:jc w:val="center"/>
            </w:pPr>
            <w:r>
              <w:rPr>
                <w:sz w:val="20"/>
              </w:rPr>
              <w:t>Any personal property, heirlooms, specific gifts</w:t>
            </w:r>
          </w:p>
        </w:tc>
      </w:tr>
      <w:tr>
        <w:tc>
          <w:tcPr>
            <w:tcW w:type="dxa" w:w="4320"/>
          </w:tcPr>
          <w:p>
            <w:pPr>
              <w:jc w:val="left"/>
            </w:pPr>
            <w:r>
              <w:rPr>
                <w:sz w:val="20"/>
              </w:rPr>
              <w:t>Charitable Intent</w:t>
            </w:r>
          </w:p>
        </w:tc>
        <w:tc>
          <w:tcPr>
            <w:tcW w:type="dxa" w:w="4320"/>
          </w:tcPr>
          <w:p>
            <w:pPr>
              <w:jc w:val="center"/>
            </w:pPr>
            <w:r>
              <w:rPr>
                <w:sz w:val="20"/>
              </w:rPr>
              <w:t>Any charitable giving goals</w:t>
            </w:r>
          </w:p>
        </w:tc>
      </w:tr>
    </w:tbl>
    <w:p/>
    <w:p>
      <w:pPr>
        <w:pStyle w:val="Heading2"/>
      </w:pPr>
      <w:r>
        <w:t>Pre-2026 Action Items (URGENT)</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fill="8B0000"/>
          </w:tcPr>
          <w:p>
            <w:pPr>
              <w:jc w:val="center"/>
            </w:pPr>
            <w:r>
              <w:rPr>
                <w:b/>
                <w:color w:val="FFFFFF"/>
                <w:sz w:val="20"/>
              </w:rPr>
              <w:t>Priority</w:t>
            </w:r>
          </w:p>
        </w:tc>
        <w:tc>
          <w:tcPr>
            <w:tcW w:type="dxa" w:w="2880"/>
            <w:shd w:fill="8B0000"/>
          </w:tcPr>
          <w:p>
            <w:pPr>
              <w:jc w:val="center"/>
            </w:pPr>
            <w:r>
              <w:rPr>
                <w:b/>
                <w:color w:val="FFFFFF"/>
                <w:sz w:val="20"/>
              </w:rPr>
              <w:t>Action</w:t>
            </w:r>
          </w:p>
        </w:tc>
        <w:tc>
          <w:tcPr>
            <w:tcW w:type="dxa" w:w="2880"/>
            <w:shd w:fill="8B0000"/>
          </w:tcPr>
          <w:p>
            <w:pPr>
              <w:jc w:val="center"/>
            </w:pPr>
            <w:r>
              <w:rPr>
                <w:b/>
                <w:color w:val="FFFFFF"/>
                <w:sz w:val="20"/>
              </w:rPr>
              <w:t>Deadline</w:t>
            </w:r>
          </w:p>
        </w:tc>
      </w:tr>
      <w:tr>
        <w:tc>
          <w:tcPr>
            <w:tcW w:type="dxa" w:w="2880"/>
          </w:tcPr>
          <w:p>
            <w:pPr>
              <w:jc w:val="left"/>
            </w:pPr>
            <w:r>
              <w:rPr>
                <w:sz w:val="20"/>
              </w:rPr>
              <w:t>🔴 CRITICAL</w:t>
            </w:r>
          </w:p>
        </w:tc>
        <w:tc>
          <w:tcPr>
            <w:tcW w:type="dxa" w:w="2880"/>
          </w:tcPr>
          <w:p>
            <w:pPr>
              <w:jc w:val="center"/>
            </w:pPr>
            <w:r>
              <w:rPr>
                <w:sz w:val="20"/>
              </w:rPr>
              <w:t>Fund SLAT with non-retirement assets</w:t>
            </w:r>
          </w:p>
        </w:tc>
        <w:tc>
          <w:tcPr>
            <w:tcW w:type="dxa" w:w="2880"/>
          </w:tcPr>
          <w:p>
            <w:pPr>
              <w:jc w:val="center"/>
            </w:pPr>
            <w:r>
              <w:rPr>
                <w:sz w:val="20"/>
              </w:rPr>
              <w:t>Before Dec 31, 2025</w:t>
            </w:r>
          </w:p>
        </w:tc>
      </w:tr>
      <w:tr>
        <w:tc>
          <w:tcPr>
            <w:tcW w:type="dxa" w:w="2880"/>
            <w:shd w:fill="D6E3F8"/>
          </w:tcPr>
          <w:p>
            <w:pPr>
              <w:jc w:val="left"/>
            </w:pPr>
            <w:r>
              <w:rPr>
                <w:sz w:val="20"/>
              </w:rPr>
              <w:t>🔴 CRITICAL</w:t>
            </w:r>
          </w:p>
        </w:tc>
        <w:tc>
          <w:tcPr>
            <w:tcW w:type="dxa" w:w="2880"/>
            <w:shd w:fill="D6E3F8"/>
          </w:tcPr>
          <w:p>
            <w:pPr>
              <w:jc w:val="center"/>
            </w:pPr>
            <w:r>
              <w:rPr>
                <w:sz w:val="20"/>
              </w:rPr>
              <w:t>Execute QPRT for Lake Murray</w:t>
            </w:r>
          </w:p>
        </w:tc>
        <w:tc>
          <w:tcPr>
            <w:tcW w:type="dxa" w:w="2880"/>
            <w:shd w:fill="D6E3F8"/>
          </w:tcPr>
          <w:p>
            <w:pPr>
              <w:jc w:val="center"/>
            </w:pPr>
            <w:r>
              <w:rPr>
                <w:sz w:val="20"/>
              </w:rPr>
              <w:t>Before Dec 31, 2025</w:t>
            </w:r>
          </w:p>
        </w:tc>
      </w:tr>
      <w:tr>
        <w:tc>
          <w:tcPr>
            <w:tcW w:type="dxa" w:w="2880"/>
          </w:tcPr>
          <w:p>
            <w:pPr>
              <w:jc w:val="left"/>
            </w:pPr>
            <w:r>
              <w:rPr>
                <w:sz w:val="20"/>
              </w:rPr>
              <w:t>🟡 HIGH</w:t>
            </w:r>
          </w:p>
        </w:tc>
        <w:tc>
          <w:tcPr>
            <w:tcW w:type="dxa" w:w="2880"/>
          </w:tcPr>
          <w:p>
            <w:pPr>
              <w:jc w:val="center"/>
            </w:pPr>
            <w:r>
              <w:rPr>
                <w:sz w:val="20"/>
              </w:rPr>
              <w:t>Update beneficiary designations</w:t>
            </w:r>
          </w:p>
        </w:tc>
        <w:tc>
          <w:tcPr>
            <w:tcW w:type="dxa" w:w="2880"/>
          </w:tcPr>
          <w:p>
            <w:pPr>
              <w:jc w:val="center"/>
            </w:pPr>
            <w:r>
              <w:rPr>
                <w:sz w:val="20"/>
              </w:rPr>
              <w:t>Q1 2025</w:t>
            </w:r>
          </w:p>
        </w:tc>
      </w:tr>
      <w:tr>
        <w:tc>
          <w:tcPr>
            <w:tcW w:type="dxa" w:w="2880"/>
            <w:shd w:fill="D6E3F8"/>
          </w:tcPr>
          <w:p>
            <w:pPr>
              <w:jc w:val="left"/>
            </w:pPr>
            <w:r>
              <w:rPr>
                <w:sz w:val="20"/>
              </w:rPr>
              <w:t>🟡 HIGH</w:t>
            </w:r>
          </w:p>
        </w:tc>
        <w:tc>
          <w:tcPr>
            <w:tcW w:type="dxa" w:w="2880"/>
            <w:shd w:fill="D6E3F8"/>
          </w:tcPr>
          <w:p>
            <w:pPr>
              <w:jc w:val="center"/>
            </w:pPr>
            <w:r>
              <w:rPr>
                <w:sz w:val="20"/>
              </w:rPr>
              <w:t>Review/update existing trust documents</w:t>
            </w:r>
          </w:p>
        </w:tc>
        <w:tc>
          <w:tcPr>
            <w:tcW w:type="dxa" w:w="2880"/>
            <w:shd w:fill="D6E3F8"/>
          </w:tcPr>
          <w:p>
            <w:pPr>
              <w:jc w:val="center"/>
            </w:pPr>
            <w:r>
              <w:rPr>
                <w:sz w:val="20"/>
              </w:rPr>
              <w:t>Q1 2025</w:t>
            </w:r>
          </w:p>
        </w:tc>
      </w:tr>
      <w:tr>
        <w:tc>
          <w:tcPr>
            <w:tcW w:type="dxa" w:w="2880"/>
          </w:tcPr>
          <w:p>
            <w:pPr>
              <w:jc w:val="left"/>
            </w:pPr>
            <w:r>
              <w:rPr>
                <w:sz w:val="20"/>
              </w:rPr>
              <w:t>🟢 STANDARD</w:t>
            </w:r>
          </w:p>
        </w:tc>
        <w:tc>
          <w:tcPr>
            <w:tcW w:type="dxa" w:w="2880"/>
          </w:tcPr>
          <w:p>
            <w:pPr>
              <w:jc w:val="center"/>
            </w:pPr>
            <w:r>
              <w:rPr>
                <w:sz w:val="20"/>
              </w:rPr>
              <w:t>Begin Roth conversions as planned</w:t>
            </w:r>
          </w:p>
        </w:tc>
        <w:tc>
          <w:tcPr>
            <w:tcW w:type="dxa" w:w="2880"/>
          </w:tcPr>
          <w:p>
            <w:pPr>
              <w:jc w:val="center"/>
            </w:pPr>
            <w:r>
              <w:rPr>
                <w:sz w:val="20"/>
              </w:rPr>
              <w:t>January 2027</w:t>
            </w:r>
          </w:p>
        </w:tc>
      </w:tr>
    </w:tbl>
    <w:p>
      <w:r>
        <w:br w:type="page"/>
      </w:r>
    </w:p>
    <w:p>
      <w:pPr>
        <w:pStyle w:val="Heading1"/>
      </w:pPr>
      <w:r>
        <w:t>8. Recommended Meeting Agenda: First Drafting Session</w:t>
      </w:r>
    </w:p>
    <w:p>
      <w:r>
        <w:rPr>
          <w:b/>
        </w:rPr>
        <w:t xml:space="preserve">Duration: </w:t>
      </w:r>
      <w:r>
        <w:t>2 hours</w:t>
      </w:r>
    </w:p>
    <w:p/>
    <w:tbl>
      <w:tblPr>
        <w:tblStyle w:val="TableGrid"/>
        <w:tblW w:type="auto" w:w="0"/>
        <w:jc w:val="center"/>
        <w:tblLook w:firstColumn="1" w:firstRow="1" w:lastColumn="0" w:lastRow="0" w:noHBand="0" w:noVBand="1" w:val="04A0"/>
      </w:tblPr>
      <w:tblGrid>
        <w:gridCol w:w="2880"/>
        <w:gridCol w:w="2880"/>
        <w:gridCol w:w="2880"/>
      </w:tblGrid>
      <w:tr>
        <w:tc>
          <w:tcPr>
            <w:tcW w:type="dxa" w:w="2880"/>
            <w:shd w:fill="1F4E79"/>
          </w:tcPr>
          <w:p>
            <w:pPr>
              <w:jc w:val="center"/>
            </w:pPr>
            <w:r>
              <w:rPr>
                <w:b/>
                <w:color w:val="FFFFFF"/>
                <w:sz w:val="20"/>
              </w:rPr>
              <w:t>Agenda Item</w:t>
            </w:r>
          </w:p>
        </w:tc>
        <w:tc>
          <w:tcPr>
            <w:tcW w:type="dxa" w:w="2880"/>
            <w:shd w:fill="1F4E79"/>
          </w:tcPr>
          <w:p>
            <w:pPr>
              <w:jc w:val="center"/>
            </w:pPr>
            <w:r>
              <w:rPr>
                <w:b/>
                <w:color w:val="FFFFFF"/>
                <w:sz w:val="20"/>
              </w:rPr>
              <w:t>Duration</w:t>
            </w:r>
          </w:p>
        </w:tc>
        <w:tc>
          <w:tcPr>
            <w:tcW w:type="dxa" w:w="2880"/>
            <w:shd w:fill="1F4E79"/>
          </w:tcPr>
          <w:p>
            <w:pPr>
              <w:jc w:val="center"/>
            </w:pPr>
            <w:r>
              <w:rPr>
                <w:b/>
                <w:color w:val="FFFFFF"/>
                <w:sz w:val="20"/>
              </w:rPr>
              <w:t>Topics to Cover</w:t>
            </w:r>
          </w:p>
        </w:tc>
      </w:tr>
      <w:tr>
        <w:tc>
          <w:tcPr>
            <w:tcW w:type="dxa" w:w="2880"/>
          </w:tcPr>
          <w:p>
            <w:pPr>
              <w:jc w:val="left"/>
            </w:pPr>
            <w:r>
              <w:rPr>
                <w:sz w:val="20"/>
              </w:rPr>
              <w:t>Review Current Documents</w:t>
            </w:r>
          </w:p>
        </w:tc>
        <w:tc>
          <w:tcPr>
            <w:tcW w:type="dxa" w:w="2880"/>
          </w:tcPr>
          <w:p>
            <w:pPr>
              <w:jc w:val="center"/>
            </w:pPr>
            <w:r>
              <w:rPr>
                <w:sz w:val="20"/>
              </w:rPr>
              <w:t>30 min</w:t>
            </w:r>
          </w:p>
        </w:tc>
        <w:tc>
          <w:tcPr>
            <w:tcW w:type="dxa" w:w="2880"/>
          </w:tcPr>
          <w:p>
            <w:pPr>
              <w:jc w:val="center"/>
            </w:pPr>
            <w:r>
              <w:rPr>
                <w:sz w:val="20"/>
              </w:rPr>
              <w:t>Existing Bob &amp; Susan Family Trust; Current beneficiary designations; Powers of Attorney</w:t>
            </w:r>
          </w:p>
        </w:tc>
      </w:tr>
      <w:tr>
        <w:tc>
          <w:tcPr>
            <w:tcW w:type="dxa" w:w="2880"/>
            <w:shd w:fill="D6E3F8"/>
          </w:tcPr>
          <w:p>
            <w:pPr>
              <w:jc w:val="left"/>
            </w:pPr>
            <w:r>
              <w:rPr>
                <w:sz w:val="20"/>
              </w:rPr>
              <w:t>SLAT Strategy Discussion</w:t>
            </w:r>
          </w:p>
        </w:tc>
        <w:tc>
          <w:tcPr>
            <w:tcW w:type="dxa" w:w="2880"/>
            <w:shd w:fill="D6E3F8"/>
          </w:tcPr>
          <w:p>
            <w:pPr>
              <w:jc w:val="center"/>
            </w:pPr>
            <w:r>
              <w:rPr>
                <w:sz w:val="20"/>
              </w:rPr>
              <w:t>30 min</w:t>
            </w:r>
          </w:p>
        </w:tc>
        <w:tc>
          <w:tcPr>
            <w:tcW w:type="dxa" w:w="2880"/>
            <w:shd w:fill="D6E3F8"/>
          </w:tcPr>
          <w:p>
            <w:pPr>
              <w:jc w:val="center"/>
            </w:pPr>
            <w:r>
              <w:rPr>
                <w:sz w:val="20"/>
              </w:rPr>
              <w:t>Funding amount and assets; Trustee selection; Distribution provisions</w:t>
            </w:r>
          </w:p>
        </w:tc>
      </w:tr>
      <w:tr>
        <w:tc>
          <w:tcPr>
            <w:tcW w:type="dxa" w:w="2880"/>
          </w:tcPr>
          <w:p>
            <w:pPr>
              <w:jc w:val="left"/>
            </w:pPr>
            <w:r>
              <w:rPr>
                <w:sz w:val="20"/>
              </w:rPr>
              <w:t>QPRT for Lake Murray</w:t>
            </w:r>
          </w:p>
        </w:tc>
        <w:tc>
          <w:tcPr>
            <w:tcW w:type="dxa" w:w="2880"/>
          </w:tcPr>
          <w:p>
            <w:pPr>
              <w:jc w:val="center"/>
            </w:pPr>
            <w:r>
              <w:rPr>
                <w:sz w:val="20"/>
              </w:rPr>
              <w:t>20 min</w:t>
            </w:r>
          </w:p>
        </w:tc>
        <w:tc>
          <w:tcPr>
            <w:tcW w:type="dxa" w:w="2880"/>
          </w:tcPr>
          <w:p>
            <w:pPr>
              <w:jc w:val="center"/>
            </w:pPr>
            <w:r>
              <w:rPr>
                <w:sz w:val="20"/>
              </w:rPr>
              <w:t>Term selection (10-15 years recommended); Valuation discount expectations; Post-term planning</w:t>
            </w:r>
          </w:p>
        </w:tc>
      </w:tr>
      <w:tr>
        <w:tc>
          <w:tcPr>
            <w:tcW w:type="dxa" w:w="2880"/>
            <w:shd w:fill="D6E3F8"/>
          </w:tcPr>
          <w:p>
            <w:pPr>
              <w:jc w:val="left"/>
            </w:pPr>
            <w:r>
              <w:rPr>
                <w:sz w:val="20"/>
              </w:rPr>
              <w:t>Lifetime Heritage Trust Design</w:t>
            </w:r>
          </w:p>
        </w:tc>
        <w:tc>
          <w:tcPr>
            <w:tcW w:type="dxa" w:w="2880"/>
            <w:shd w:fill="D6E3F8"/>
          </w:tcPr>
          <w:p>
            <w:pPr>
              <w:jc w:val="center"/>
            </w:pPr>
            <w:r>
              <w:rPr>
                <w:sz w:val="20"/>
              </w:rPr>
              <w:t>30 min</w:t>
            </w:r>
          </w:p>
        </w:tc>
        <w:tc>
          <w:tcPr>
            <w:tcW w:type="dxa" w:w="2880"/>
            <w:shd w:fill="D6E3F8"/>
          </w:tcPr>
          <w:p>
            <w:pPr>
              <w:jc w:val="center"/>
            </w:pPr>
            <w:r>
              <w:rPr>
                <w:sz w:val="20"/>
              </w:rPr>
              <w:t>Spendthrift provisions; Distribution standards; Trustee structure</w:t>
            </w:r>
          </w:p>
        </w:tc>
      </w:tr>
      <w:tr>
        <w:tc>
          <w:tcPr>
            <w:tcW w:type="dxa" w:w="2880"/>
          </w:tcPr>
          <w:p>
            <w:pPr>
              <w:jc w:val="left"/>
            </w:pPr>
            <w:r>
              <w:rPr>
                <w:sz w:val="20"/>
              </w:rPr>
              <w:t>Next Steps &amp; Timeline</w:t>
            </w:r>
          </w:p>
        </w:tc>
        <w:tc>
          <w:tcPr>
            <w:tcW w:type="dxa" w:w="2880"/>
          </w:tcPr>
          <w:p>
            <w:pPr>
              <w:jc w:val="center"/>
            </w:pPr>
            <w:r>
              <w:rPr>
                <w:sz w:val="20"/>
              </w:rPr>
              <w:t>10 min</w:t>
            </w:r>
          </w:p>
        </w:tc>
        <w:tc>
          <w:tcPr>
            <w:tcW w:type="dxa" w:w="2880"/>
          </w:tcPr>
          <w:p>
            <w:pPr>
              <w:jc w:val="center"/>
            </w:pPr>
            <w:r>
              <w:rPr>
                <w:sz w:val="20"/>
              </w:rPr>
              <w:t>Document drafting schedule; Signing ceremony planning; Asset re-titling checklist</w:t>
            </w:r>
          </w:p>
        </w:tc>
      </w:tr>
    </w:tbl>
    <w:p>
      <w:r>
        <w:br w:type="page"/>
      </w:r>
    </w:p>
    <w:p>
      <w:pPr>
        <w:pStyle w:val="Heading1"/>
      </w:pPr>
      <w:r>
        <w:t>9. Summary: Estate Planning Priorities</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fill="2E7D32"/>
          </w:tcPr>
          <w:p>
            <w:pPr>
              <w:jc w:val="center"/>
            </w:pPr>
            <w:r>
              <w:rPr>
                <w:b/>
                <w:color w:val="FFFFFF"/>
                <w:sz w:val="20"/>
              </w:rPr>
              <w:t>Priority</w:t>
            </w:r>
          </w:p>
        </w:tc>
        <w:tc>
          <w:tcPr>
            <w:tcW w:type="dxa" w:w="2160"/>
            <w:shd w:fill="2E7D32"/>
          </w:tcPr>
          <w:p>
            <w:pPr>
              <w:jc w:val="center"/>
            </w:pPr>
            <w:r>
              <w:rPr>
                <w:b/>
                <w:color w:val="FFFFFF"/>
                <w:sz w:val="20"/>
              </w:rPr>
              <w:t>Strategy</w:t>
            </w:r>
          </w:p>
        </w:tc>
        <w:tc>
          <w:tcPr>
            <w:tcW w:type="dxa" w:w="2160"/>
            <w:shd w:fill="2E7D32"/>
          </w:tcPr>
          <w:p>
            <w:pPr>
              <w:jc w:val="center"/>
            </w:pPr>
            <w:r>
              <w:rPr>
                <w:b/>
                <w:color w:val="FFFFFF"/>
                <w:sz w:val="20"/>
              </w:rPr>
              <w:t>Est. Tax Savings</w:t>
            </w:r>
          </w:p>
        </w:tc>
        <w:tc>
          <w:tcPr>
            <w:tcW w:type="dxa" w:w="2160"/>
            <w:shd w:fill="2E7D32"/>
          </w:tcPr>
          <w:p>
            <w:pPr>
              <w:jc w:val="center"/>
            </w:pPr>
            <w:r>
              <w:rPr>
                <w:b/>
                <w:color w:val="FFFFFF"/>
                <w:sz w:val="20"/>
              </w:rPr>
              <w:t>Deadline</w:t>
            </w:r>
          </w:p>
        </w:tc>
      </w:tr>
      <w:tr>
        <w:tc>
          <w:tcPr>
            <w:tcW w:type="dxa" w:w="2160"/>
          </w:tcPr>
          <w:p>
            <w:pPr>
              <w:jc w:val="left"/>
            </w:pPr>
            <w:r>
              <w:rPr>
                <w:sz w:val="20"/>
              </w:rPr>
              <w:t>1</w:t>
            </w:r>
          </w:p>
        </w:tc>
        <w:tc>
          <w:tcPr>
            <w:tcW w:type="dxa" w:w="2160"/>
          </w:tcPr>
          <w:p>
            <w:pPr>
              <w:jc w:val="center"/>
            </w:pPr>
            <w:r>
              <w:rPr>
                <w:sz w:val="20"/>
              </w:rPr>
              <w:t>SLAT Funding ($1.97M+ from Wells Fargo)</w:t>
            </w:r>
          </w:p>
        </w:tc>
        <w:tc>
          <w:tcPr>
            <w:tcW w:type="dxa" w:w="2160"/>
          </w:tcPr>
          <w:p>
            <w:pPr>
              <w:jc w:val="center"/>
            </w:pPr>
            <w:r>
              <w:rPr>
                <w:sz w:val="20"/>
              </w:rPr>
              <w:t>$788K+</w:t>
            </w:r>
          </w:p>
        </w:tc>
        <w:tc>
          <w:tcPr>
            <w:tcW w:type="dxa" w:w="2160"/>
          </w:tcPr>
          <w:p>
            <w:pPr>
              <w:jc w:val="center"/>
            </w:pPr>
            <w:r>
              <w:rPr>
                <w:sz w:val="20"/>
              </w:rPr>
              <w:t>Dec 2025</w:t>
            </w:r>
          </w:p>
        </w:tc>
      </w:tr>
      <w:tr>
        <w:tc>
          <w:tcPr>
            <w:tcW w:type="dxa" w:w="2160"/>
            <w:shd w:fill="D6E3F8"/>
          </w:tcPr>
          <w:p>
            <w:pPr>
              <w:jc w:val="left"/>
            </w:pPr>
            <w:r>
              <w:rPr>
                <w:sz w:val="20"/>
              </w:rPr>
              <w:t>2</w:t>
            </w:r>
          </w:p>
        </w:tc>
        <w:tc>
          <w:tcPr>
            <w:tcW w:type="dxa" w:w="2160"/>
            <w:shd w:fill="D6E3F8"/>
          </w:tcPr>
          <w:p>
            <w:pPr>
              <w:jc w:val="center"/>
            </w:pPr>
            <w:r>
              <w:rPr>
                <w:sz w:val="20"/>
              </w:rPr>
              <w:t>QPRT for Lake Murray</w:t>
            </w:r>
          </w:p>
        </w:tc>
        <w:tc>
          <w:tcPr>
            <w:tcW w:type="dxa" w:w="2160"/>
            <w:shd w:fill="D6E3F8"/>
          </w:tcPr>
          <w:p>
            <w:pPr>
              <w:jc w:val="center"/>
            </w:pPr>
            <w:r>
              <w:rPr>
                <w:sz w:val="20"/>
              </w:rPr>
              <w:t>$600K+</w:t>
            </w:r>
          </w:p>
        </w:tc>
        <w:tc>
          <w:tcPr>
            <w:tcW w:type="dxa" w:w="2160"/>
            <w:shd w:fill="D6E3F8"/>
          </w:tcPr>
          <w:p>
            <w:pPr>
              <w:jc w:val="center"/>
            </w:pPr>
            <w:r>
              <w:rPr>
                <w:sz w:val="20"/>
              </w:rPr>
              <w:t>Dec 2025</w:t>
            </w:r>
          </w:p>
        </w:tc>
      </w:tr>
      <w:tr>
        <w:tc>
          <w:tcPr>
            <w:tcW w:type="dxa" w:w="2160"/>
          </w:tcPr>
          <w:p>
            <w:pPr>
              <w:jc w:val="left"/>
            </w:pPr>
            <w:r>
              <w:rPr>
                <w:sz w:val="20"/>
              </w:rPr>
              <w:t>3</w:t>
            </w:r>
          </w:p>
        </w:tc>
        <w:tc>
          <w:tcPr>
            <w:tcW w:type="dxa" w:w="2160"/>
          </w:tcPr>
          <w:p>
            <w:pPr>
              <w:jc w:val="center"/>
            </w:pPr>
            <w:r>
              <w:rPr>
                <w:sz w:val="20"/>
              </w:rPr>
              <w:t>Update Lifetime Heritage Trusts</w:t>
            </w:r>
          </w:p>
        </w:tc>
        <w:tc>
          <w:tcPr>
            <w:tcW w:type="dxa" w:w="2160"/>
          </w:tcPr>
          <w:p>
            <w:pPr>
              <w:jc w:val="center"/>
            </w:pPr>
            <w:r>
              <w:rPr>
                <w:sz w:val="20"/>
              </w:rPr>
              <w:t>Asset protection</w:t>
            </w:r>
          </w:p>
        </w:tc>
        <w:tc>
          <w:tcPr>
            <w:tcW w:type="dxa" w:w="2160"/>
          </w:tcPr>
          <w:p>
            <w:pPr>
              <w:jc w:val="center"/>
            </w:pPr>
            <w:r>
              <w:rPr>
                <w:sz w:val="20"/>
              </w:rPr>
              <w:t>Q1 2025</w:t>
            </w:r>
          </w:p>
        </w:tc>
      </w:tr>
      <w:tr>
        <w:tc>
          <w:tcPr>
            <w:tcW w:type="dxa" w:w="2160"/>
            <w:shd w:fill="D6E3F8"/>
          </w:tcPr>
          <w:p>
            <w:pPr>
              <w:jc w:val="left"/>
            </w:pPr>
            <w:r>
              <w:rPr>
                <w:sz w:val="20"/>
              </w:rPr>
              <w:t>4</w:t>
            </w:r>
          </w:p>
        </w:tc>
        <w:tc>
          <w:tcPr>
            <w:tcW w:type="dxa" w:w="2160"/>
            <w:shd w:fill="D6E3F8"/>
          </w:tcPr>
          <w:p>
            <w:pPr>
              <w:jc w:val="center"/>
            </w:pPr>
            <w:r>
              <w:rPr>
                <w:sz w:val="20"/>
              </w:rPr>
              <w:t>Roth Conversions (as planned)</w:t>
            </w:r>
          </w:p>
        </w:tc>
        <w:tc>
          <w:tcPr>
            <w:tcW w:type="dxa" w:w="2160"/>
            <w:shd w:fill="D6E3F8"/>
          </w:tcPr>
          <w:p>
            <w:pPr>
              <w:jc w:val="center"/>
            </w:pPr>
            <w:r>
              <w:rPr>
                <w:sz w:val="20"/>
              </w:rPr>
              <w:t>$800K - $1.2M</w:t>
            </w:r>
          </w:p>
        </w:tc>
        <w:tc>
          <w:tcPr>
            <w:tcW w:type="dxa" w:w="2160"/>
            <w:shd w:fill="D6E3F8"/>
          </w:tcPr>
          <w:p>
            <w:pPr>
              <w:jc w:val="center"/>
            </w:pPr>
            <w:r>
              <w:rPr>
                <w:sz w:val="20"/>
              </w:rPr>
              <w:t>2027-2032</w:t>
            </w:r>
          </w:p>
        </w:tc>
      </w:tr>
      <w:tr>
        <w:tc>
          <w:tcPr>
            <w:tcW w:type="dxa" w:w="2160"/>
          </w:tcPr>
          <w:p>
            <w:pPr>
              <w:jc w:val="left"/>
            </w:pPr>
            <w:r>
              <w:rPr>
                <w:sz w:val="20"/>
              </w:rPr>
              <w:t>5</w:t>
            </w:r>
          </w:p>
        </w:tc>
        <w:tc>
          <w:tcPr>
            <w:tcW w:type="dxa" w:w="2160"/>
          </w:tcPr>
          <w:p>
            <w:pPr>
              <w:jc w:val="center"/>
            </w:pPr>
            <w:r>
              <w:rPr>
                <w:sz w:val="20"/>
              </w:rPr>
              <w:t>Annual Exclusion Gifts</w:t>
            </w:r>
          </w:p>
        </w:tc>
        <w:tc>
          <w:tcPr>
            <w:tcW w:type="dxa" w:w="2160"/>
          </w:tcPr>
          <w:p>
            <w:pPr>
              <w:jc w:val="center"/>
            </w:pPr>
            <w:r>
              <w:rPr>
                <w:sz w:val="20"/>
              </w:rPr>
              <w:t>$14K+/year</w:t>
            </w:r>
          </w:p>
        </w:tc>
        <w:tc>
          <w:tcPr>
            <w:tcW w:type="dxa" w:w="2160"/>
          </w:tcPr>
          <w:p>
            <w:pPr>
              <w:jc w:val="center"/>
            </w:pPr>
            <w:r>
              <w:rPr>
                <w:sz w:val="20"/>
              </w:rPr>
              <w:t>Ongoing</w:t>
            </w:r>
          </w:p>
        </w:tc>
      </w:tr>
    </w:tbl>
    <w:p/>
    <w:p>
      <w:pPr>
        <w:jc w:val="center"/>
      </w:pPr>
      <w:r>
        <w:rPr>
          <w:b/>
        </w:rPr>
        <w:t>TOTAL ESTIMATED TAX SAVINGS: $2.2M - $2.6M+</w:t>
      </w:r>
    </w:p>
    <w:p/>
    <w:p/>
    <w:p>
      <w:pPr>
        <w:ind w:left="720" w:right="720"/>
      </w:pPr>
      <w:r>
        <w:rPr>
          <w:b/>
          <w:i/>
          <w:sz w:val="18"/>
        </w:rPr>
        <w:t xml:space="preserve">DISCLAIMER: </w:t>
      </w:r>
      <w:r>
        <w:rPr>
          <w:i/>
          <w:sz w:val="18"/>
        </w:rPr>
        <w:t>This analysis is for initial discussion purposes only. All recommendations should be reviewed with your South Carolina estate planning attorney and CPA before implementation. Tax laws are subject to change, and the 2026 sunset provisions remain uncertain pending Congressional action. This document does not constitute legal or tax advice.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2F5496"/>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F4E79"/>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