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Portfolio Summary</w:t>
      </w:r>
    </w:p>
    <w:p>
      <w:pPr>
        <w:jc w:val="center"/>
      </w:pPr>
      <w:r>
        <w:t>January 2, 2026 - Approved for Implementation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Total Portfolio Value: </w:t>
      </w:r>
      <w:r>
        <w:t>$5,928,400</w:t>
        <w:br/>
      </w:r>
      <w:r>
        <w:rPr>
          <w:b/>
        </w:rPr>
        <w:t xml:space="preserve">2036 Projected Value: </w:t>
      </w:r>
      <w:r>
        <w:t>$15,248,000</w:t>
        <w:br/>
      </w:r>
      <w:r>
        <w:rPr>
          <w:b/>
        </w:rPr>
        <w:t xml:space="preserve">10-Year Growth: </w:t>
      </w:r>
      <w:r>
        <w:t>$9,319,600</w:t>
        <w:br/>
      </w:r>
      <w:r>
        <w:rPr>
          <w:b/>
        </w:rPr>
        <w:t xml:space="preserve">Total Positions: </w:t>
      </w:r>
      <w:r>
        <w:t>20 (7 stocks + 13 ETFs)</w:t>
        <w:br/>
      </w:r>
      <w:r>
        <w:rPr>
          <w:b/>
        </w:rPr>
        <w:t xml:space="preserve">Themes: </w:t>
      </w:r>
      <w:r>
        <w:t>Tech, Longevity, Infrastructure, Aerospace/Defense</w:t>
      </w:r>
    </w:p>
    <w:p>
      <w:pPr>
        <w:pStyle w:val="Heading1"/>
      </w:pPr>
      <w:r>
        <w:t>Account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CAGR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2036 Target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t>Bob's Unified</w:t>
            </w:r>
          </w:p>
        </w:tc>
        <w:tc>
          <w:tcPr>
            <w:tcW w:type="dxa" w:w="1440"/>
          </w:tcPr>
          <w:p>
            <w:r>
              <w:t>7 Stocks + 5 ETFs</w:t>
            </w:r>
          </w:p>
        </w:tc>
        <w:tc>
          <w:tcPr>
            <w:tcW w:type="dxa" w:w="1440"/>
          </w:tcPr>
          <w:p>
            <w:r>
              <w:t>$1,617,400</w:t>
            </w:r>
          </w:p>
        </w:tc>
        <w:tc>
          <w:tcPr>
            <w:tcW w:type="dxa" w:w="1440"/>
          </w:tcPr>
          <w:p>
            <w:r>
              <w:t>13-14%</w:t>
            </w:r>
          </w:p>
        </w:tc>
        <w:tc>
          <w:tcPr>
            <w:tcW w:type="dxa" w:w="1440"/>
          </w:tcPr>
          <w:p>
            <w:r>
              <w:t>$7,500,000</w:t>
            </w:r>
          </w:p>
        </w:tc>
        <w:tc>
          <w:tcPr>
            <w:tcW w:type="dxa" w:w="1440"/>
          </w:tcPr>
          <w:p>
            <w:r>
              <w:t>Growth, legacy</w:t>
            </w:r>
          </w:p>
        </w:tc>
      </w:tr>
      <w:tr>
        <w:tc>
          <w:tcPr>
            <w:tcW w:type="dxa" w:w="1440"/>
          </w:tcPr>
          <w:p>
            <w:r>
              <w:t>Susan's IRA</w:t>
            </w:r>
          </w:p>
        </w:tc>
        <w:tc>
          <w:tcPr>
            <w:tcW w:type="dxa" w:w="1440"/>
          </w:tcPr>
          <w:p>
            <w:r>
              <w:t>4 ETFs</w:t>
            </w:r>
          </w:p>
        </w:tc>
        <w:tc>
          <w:tcPr>
            <w:tcW w:type="dxa" w:w="1440"/>
          </w:tcPr>
          <w:p>
            <w:r>
              <w:t>$778,700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$2,211,000</w:t>
            </w:r>
          </w:p>
        </w:tc>
        <w:tc>
          <w:tcPr>
            <w:tcW w:type="dxa" w:w="1440"/>
          </w:tcPr>
          <w:p>
            <w:r>
              <w:t>RMD only, legacy</w:t>
            </w:r>
          </w:p>
        </w:tc>
      </w:tr>
      <w:tr>
        <w:tc>
          <w:tcPr>
            <w:tcW w:type="dxa" w:w="1440"/>
          </w:tcPr>
          <w:p>
            <w:r>
              <w:t>eTrade IRA</w:t>
            </w:r>
          </w:p>
        </w:tc>
        <w:tc>
          <w:tcPr>
            <w:tcW w:type="dxa" w:w="1440"/>
          </w:tcPr>
          <w:p>
            <w:r>
              <w:t>3 ETFs</w:t>
            </w:r>
          </w:p>
        </w:tc>
        <w:tc>
          <w:tcPr>
            <w:tcW w:type="dxa" w:w="1440"/>
          </w:tcPr>
          <w:p>
            <w:r>
              <w:t>$1,562,300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$4,437,000</w:t>
            </w:r>
          </w:p>
        </w:tc>
        <w:tc>
          <w:tcPr>
            <w:tcW w:type="dxa" w:w="1440"/>
          </w:tcPr>
          <w:p>
            <w:r>
              <w:t>Safety backstop</w:t>
            </w:r>
          </w:p>
        </w:tc>
      </w:tr>
      <w:tr>
        <w:tc>
          <w:tcPr>
            <w:tcW w:type="dxa" w:w="1440"/>
          </w:tcPr>
          <w:p>
            <w:r>
              <w:t>Wells Fargo</w:t>
            </w:r>
          </w:p>
        </w:tc>
        <w:tc>
          <w:tcPr>
            <w:tcW w:type="dxa" w:w="1440"/>
          </w:tcPr>
          <w:p>
            <w:r>
              <w:t>SGOV</w:t>
            </w:r>
          </w:p>
        </w:tc>
        <w:tc>
          <w:tcPr>
            <w:tcW w:type="dxa" w:w="1440"/>
          </w:tcPr>
          <w:p>
            <w:r>
              <w:t>$1,970,000</w:t>
            </w:r>
          </w:p>
        </w:tc>
        <w:tc>
          <w:tcPr>
            <w:tcW w:type="dxa" w:w="1440"/>
          </w:tcPr>
          <w:p>
            <w:r>
              <w:t>4.5%</w:t>
            </w:r>
          </w:p>
        </w:tc>
        <w:tc>
          <w:tcPr>
            <w:tcW w:type="dxa" w:w="1440"/>
          </w:tcPr>
          <w:p>
            <w:r>
              <w:t>$1,100,000</w:t>
            </w:r>
          </w:p>
        </w:tc>
        <w:tc>
          <w:tcPr>
            <w:tcW w:type="dxa" w:w="1440"/>
          </w:tcPr>
          <w:p>
            <w:r>
              <w:t>Expenses + taxes</w:t>
            </w:r>
          </w:p>
        </w:tc>
      </w:tr>
    </w:tbl>
    <w:p>
      <w:r>
        <w:br w:type="page"/>
      </w:r>
    </w:p>
    <w:p>
      <w:pPr>
        <w:pStyle w:val="Heading1"/>
      </w:pPr>
      <w:r>
        <w:t>Bob's Unified Portfolio</w:t>
      </w:r>
    </w:p>
    <w:p>
      <w:r>
        <w:rPr>
          <w:b/>
        </w:rPr>
        <w:t xml:space="preserve">Total Value: </w:t>
      </w:r>
      <w:r>
        <w:t xml:space="preserve">$1,617,400 | </w:t>
      </w:r>
      <w:r>
        <w:rPr>
          <w:b/>
        </w:rPr>
        <w:t xml:space="preserve">CAGR: </w:t>
      </w:r>
      <w:r>
        <w:t xml:space="preserve">13-14% | </w:t>
      </w:r>
      <w:r>
        <w:rPr>
          <w:b/>
        </w:rPr>
        <w:t xml:space="preserve">2036 Target: </w:t>
      </w:r>
      <w:r>
        <w:t>$7,500,000</w:t>
      </w:r>
    </w:p>
    <w:p>
      <w:pPr>
        <w:pStyle w:val="Heading2"/>
      </w:pPr>
      <w:r>
        <w:t>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1440"/>
          </w:tcPr>
          <w:p>
            <w:r>
              <w:t>Anchor</w:t>
            </w:r>
          </w:p>
        </w:tc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$194,088</w:t>
            </w:r>
          </w:p>
        </w:tc>
      </w:tr>
      <w:tr>
        <w:tc>
          <w:tcPr>
            <w:tcW w:type="dxa" w:w="1440"/>
          </w:tcPr>
          <w:p>
            <w:r>
              <w:t>Anchor</w:t>
            </w:r>
          </w:p>
        </w:tc>
        <w:tc>
          <w:tcPr>
            <w:tcW w:type="dxa" w:w="1440"/>
          </w:tcPr>
          <w:p>
            <w:r>
              <w:t>XLV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Longevity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$194,088</w:t>
            </w:r>
          </w:p>
        </w:tc>
      </w:tr>
      <w:tr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$177,914</w:t>
            </w:r>
          </w:p>
        </w:tc>
      </w:tr>
      <w:tr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GOOGL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$177,914</w:t>
            </w:r>
          </w:p>
        </w:tc>
      </w:tr>
      <w:tr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AMZN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$177,914</w:t>
            </w:r>
          </w:p>
        </w:tc>
      </w:tr>
      <w:tr>
        <w:tc>
          <w:tcPr>
            <w:tcW w:type="dxa" w:w="1440"/>
          </w:tcPr>
          <w:p>
            <w:r>
              <w:t>Supporting</w:t>
            </w:r>
          </w:p>
        </w:tc>
        <w:tc>
          <w:tcPr>
            <w:tcW w:type="dxa" w:w="1440"/>
          </w:tcPr>
          <w:p>
            <w:r>
              <w:t>ITA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Aero/Defense</w:t>
            </w:r>
          </w:p>
        </w:tc>
        <w:tc>
          <w:tcPr>
            <w:tcW w:type="dxa" w:w="1440"/>
          </w:tcPr>
          <w:p>
            <w:r>
              <w:t>9%</w:t>
            </w:r>
          </w:p>
        </w:tc>
        <w:tc>
          <w:tcPr>
            <w:tcW w:type="dxa" w:w="1440"/>
          </w:tcPr>
          <w:p>
            <w:r>
              <w:t>$145,566</w:t>
            </w:r>
          </w:p>
        </w:tc>
      </w:tr>
      <w:tr>
        <w:tc>
          <w:tcPr>
            <w:tcW w:type="dxa" w:w="1440"/>
          </w:tcPr>
          <w:p>
            <w:r>
              <w:t>Supporting</w:t>
            </w:r>
          </w:p>
        </w:tc>
        <w:tc>
          <w:tcPr>
            <w:tcW w:type="dxa" w:w="1440"/>
          </w:tcPr>
          <w:p>
            <w:r>
              <w:t>XLU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9%</w:t>
            </w:r>
          </w:p>
        </w:tc>
        <w:tc>
          <w:tcPr>
            <w:tcW w:type="dxa" w:w="1440"/>
          </w:tcPr>
          <w:p>
            <w:r>
              <w:t>$145,566</w:t>
            </w:r>
          </w:p>
        </w:tc>
      </w:tr>
      <w:tr>
        <w:tc>
          <w:tcPr>
            <w:tcW w:type="dxa" w:w="1440"/>
          </w:tcPr>
          <w:p>
            <w:r>
              <w:t>Supporting</w:t>
            </w:r>
          </w:p>
        </w:tc>
        <w:tc>
          <w:tcPr>
            <w:tcW w:type="dxa" w:w="1440"/>
          </w:tcPr>
          <w:p>
            <w:r>
              <w:t>GRID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9%</w:t>
            </w:r>
          </w:p>
        </w:tc>
        <w:tc>
          <w:tcPr>
            <w:tcW w:type="dxa" w:w="1440"/>
          </w:tcPr>
          <w:p>
            <w:r>
              <w:t>$145,566</w:t>
            </w:r>
          </w:p>
        </w:tc>
      </w:tr>
      <w:tr>
        <w:tc>
          <w:tcPr>
            <w:tcW w:type="dxa" w:w="1440"/>
          </w:tcPr>
          <w:p>
            <w:r>
              <w:t>Satellite</w:t>
            </w:r>
          </w:p>
        </w:tc>
        <w:tc>
          <w:tcPr>
            <w:tcW w:type="dxa" w:w="1440"/>
          </w:tcPr>
          <w:p>
            <w:r>
              <w:t>IHI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Longevity</w:t>
            </w:r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>
              <w:t>$64,696</w:t>
            </w:r>
          </w:p>
        </w:tc>
      </w:tr>
      <w:tr>
        <w:tc>
          <w:tcPr>
            <w:tcW w:type="dxa" w:w="1440"/>
          </w:tcPr>
          <w:p>
            <w:r>
              <w:t>Satellite</w:t>
            </w:r>
          </w:p>
        </w:tc>
        <w:tc>
          <w:tcPr>
            <w:tcW w:type="dxa" w:w="1440"/>
          </w:tcPr>
          <w:p>
            <w:r>
              <w:t>NOW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>
              <w:t>$64,696</w:t>
            </w:r>
          </w:p>
        </w:tc>
      </w:tr>
      <w:tr>
        <w:tc>
          <w:tcPr>
            <w:tcW w:type="dxa" w:w="1440"/>
          </w:tcPr>
          <w:p>
            <w:r>
              <w:t>Satellite</w:t>
            </w:r>
          </w:p>
        </w:tc>
        <w:tc>
          <w:tcPr>
            <w:tcW w:type="dxa" w:w="1440"/>
          </w:tcPr>
          <w:p>
            <w:r>
              <w:t>AVGO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>
              <w:t>$64,696</w:t>
            </w:r>
          </w:p>
        </w:tc>
      </w:tr>
      <w:tr>
        <w:tc>
          <w:tcPr>
            <w:tcW w:type="dxa" w:w="1440"/>
          </w:tcPr>
          <w:p>
            <w:r>
              <w:t>Satellite</w:t>
            </w:r>
          </w:p>
        </w:tc>
        <w:tc>
          <w:tcPr>
            <w:tcW w:type="dxa" w:w="1440"/>
          </w:tcPr>
          <w:p>
            <w:r>
              <w:t>CRWD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  <w:tc>
          <w:tcPr>
            <w:tcW w:type="dxa" w:w="1440"/>
          </w:tcPr>
          <w:p>
            <w:r>
              <w:t>Tech</w:t>
            </w:r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>
              <w:t>$64,696</w:t>
            </w:r>
          </w:p>
        </w:tc>
      </w:tr>
    </w:tbl>
    <w:p>
      <w:pPr>
        <w:pStyle w:val="Heading2"/>
      </w:pPr>
      <w:r>
        <w:t>Theme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Holdings</w:t>
            </w:r>
          </w:p>
        </w:tc>
      </w:tr>
      <w:tr>
        <w:tc>
          <w:tcPr>
            <w:tcW w:type="dxa" w:w="2880"/>
          </w:tcPr>
          <w:p>
            <w:r>
              <w:t>Tech</w:t>
            </w:r>
          </w:p>
        </w:tc>
        <w:tc>
          <w:tcPr>
            <w:tcW w:type="dxa" w:w="2880"/>
          </w:tcPr>
          <w:p>
            <w:r>
              <w:t>52%</w:t>
            </w:r>
          </w:p>
        </w:tc>
        <w:tc>
          <w:tcPr>
            <w:tcW w:type="dxa" w:w="2880"/>
          </w:tcPr>
          <w:p>
            <w:r>
              <w:t>NVDA, META, GOOGL, AMZN, NOW, AVGO, CRWD</w:t>
            </w:r>
          </w:p>
        </w:tc>
      </w:tr>
      <w:tr>
        <w:tc>
          <w:tcPr>
            <w:tcW w:type="dxa" w:w="2880"/>
          </w:tcPr>
          <w:p>
            <w:r>
              <w:t>Longevity</w:t>
            </w:r>
          </w:p>
        </w:tc>
        <w:tc>
          <w:tcPr>
            <w:tcW w:type="dxa" w:w="2880"/>
          </w:tcPr>
          <w:p>
            <w:r>
              <w:t>16%</w:t>
            </w:r>
          </w:p>
        </w:tc>
        <w:tc>
          <w:tcPr>
            <w:tcW w:type="dxa" w:w="2880"/>
          </w:tcPr>
          <w:p>
            <w:r>
              <w:t>XLV, IHI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XLU, GRID</w:t>
            </w:r>
          </w:p>
        </w:tc>
      </w:tr>
      <w:tr>
        <w:tc>
          <w:tcPr>
            <w:tcW w:type="dxa" w:w="2880"/>
          </w:tcPr>
          <w:p>
            <w:r>
              <w:t>Aerospace/Defense</w:t>
            </w:r>
          </w:p>
        </w:tc>
        <w:tc>
          <w:tcPr>
            <w:tcW w:type="dxa" w:w="2880"/>
          </w:tcPr>
          <w:p>
            <w:r>
              <w:t>9%</w:t>
            </w:r>
          </w:p>
        </w:tc>
        <w:tc>
          <w:tcPr>
            <w:tcW w:type="dxa" w:w="2880"/>
          </w:tcPr>
          <w:p>
            <w:r>
              <w:t>ITA</w:t>
            </w:r>
          </w:p>
        </w:tc>
      </w:tr>
    </w:tbl>
    <w:p>
      <w:r>
        <w:br w:type="page"/>
      </w:r>
    </w:p>
    <w:p>
      <w:pPr>
        <w:pStyle w:val="Heading1"/>
      </w:pPr>
      <w:r>
        <w:t>Susan's IRA</w:t>
      </w:r>
    </w:p>
    <w:p>
      <w:r>
        <w:rPr>
          <w:b/>
        </w:rPr>
        <w:t xml:space="preserve">Total Value: </w:t>
      </w:r>
      <w:r>
        <w:t xml:space="preserve">$778,700 | </w:t>
      </w:r>
      <w:r>
        <w:rPr>
          <w:b/>
        </w:rPr>
        <w:t xml:space="preserve">CAGR: </w:t>
      </w:r>
      <w:r>
        <w:t xml:space="preserve">11% | </w:t>
      </w:r>
      <w:r>
        <w:rPr>
          <w:b/>
        </w:rPr>
        <w:t xml:space="preserve">2036 Target: </w:t>
      </w:r>
      <w:r>
        <w:t>$2,211,000</w:t>
        <w:br/>
      </w:r>
      <w:r>
        <w:rPr>
          <w:b/>
        </w:rPr>
        <w:t xml:space="preserve">Purpose: </w:t>
      </w:r>
      <w:r>
        <w:t>RMD withdrawals only, legacy to daughters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VTI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$389,350</w:t>
            </w:r>
          </w:p>
        </w:tc>
        <w:tc>
          <w:tcPr>
            <w:tcW w:type="dxa" w:w="2160"/>
          </w:tcPr>
          <w:p>
            <w:r>
              <w:t>US Total Market</w:t>
            </w:r>
          </w:p>
        </w:tc>
      </w:tr>
      <w:tr>
        <w:tc>
          <w:tcPr>
            <w:tcW w:type="dxa" w:w="2160"/>
          </w:tcPr>
          <w:p>
            <w:r>
              <w:t>VUG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$194,675</w:t>
            </w:r>
          </w:p>
        </w:tc>
        <w:tc>
          <w:tcPr>
            <w:tcW w:type="dxa" w:w="2160"/>
          </w:tcPr>
          <w:p>
            <w:r>
              <w:t>US Growth</w:t>
            </w:r>
          </w:p>
        </w:tc>
      </w:tr>
      <w:tr>
        <w:tc>
          <w:tcPr>
            <w:tcW w:type="dxa" w:w="2160"/>
          </w:tcPr>
          <w:p>
            <w:r>
              <w:t>VXUS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$116,805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</w:tr>
      <w:tr>
        <w:tc>
          <w:tcPr>
            <w:tcW w:type="dxa" w:w="2160"/>
          </w:tcPr>
          <w:p>
            <w:r>
              <w:t>BND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$77,870</w:t>
            </w:r>
          </w:p>
        </w:tc>
        <w:tc>
          <w:tcPr>
            <w:tcW w:type="dxa" w:w="2160"/>
          </w:tcPr>
          <w:p>
            <w:r>
              <w:t>Bonds (stability)</w:t>
            </w:r>
          </w:p>
        </w:tc>
      </w:tr>
    </w:tbl>
    <w:p>
      <w:pPr>
        <w:pStyle w:val="Heading1"/>
      </w:pPr>
      <w:r>
        <w:t>eTrade IRA</w:t>
      </w:r>
    </w:p>
    <w:p>
      <w:r>
        <w:rPr>
          <w:b/>
        </w:rPr>
        <w:t xml:space="preserve">Total Value: </w:t>
      </w:r>
      <w:r>
        <w:t xml:space="preserve">$1,562,300 | </w:t>
      </w:r>
      <w:r>
        <w:rPr>
          <w:b/>
        </w:rPr>
        <w:t xml:space="preserve">CAGR: </w:t>
      </w:r>
      <w:r>
        <w:t xml:space="preserve">11% | </w:t>
      </w:r>
      <w:r>
        <w:rPr>
          <w:b/>
        </w:rPr>
        <w:t xml:space="preserve">2036 Target: </w:t>
      </w:r>
      <w:r>
        <w:t>$4,437,000</w:t>
        <w:br/>
      </w:r>
      <w:r>
        <w:rPr>
          <w:b/>
        </w:rPr>
        <w:t xml:space="preserve">Purpose: </w:t>
      </w:r>
      <w:r>
        <w:t>Safety backstop (hope to never touch)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VTI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$937,380</w:t>
            </w:r>
          </w:p>
        </w:tc>
        <w:tc>
          <w:tcPr>
            <w:tcW w:type="dxa" w:w="2160"/>
          </w:tcPr>
          <w:p>
            <w:r>
              <w:t>US Total Market</w:t>
            </w:r>
          </w:p>
        </w:tc>
      </w:tr>
      <w:tr>
        <w:tc>
          <w:tcPr>
            <w:tcW w:type="dxa" w:w="2160"/>
          </w:tcPr>
          <w:p>
            <w:r>
              <w:t>VXUS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$390,575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</w:tr>
      <w:tr>
        <w:tc>
          <w:tcPr>
            <w:tcW w:type="dxa" w:w="2160"/>
          </w:tcPr>
          <w:p>
            <w:r>
              <w:t>VUG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$234,345</w:t>
            </w:r>
          </w:p>
        </w:tc>
        <w:tc>
          <w:tcPr>
            <w:tcW w:type="dxa" w:w="2160"/>
          </w:tcPr>
          <w:p>
            <w:r>
              <w:t>US Growth</w:t>
            </w:r>
          </w:p>
        </w:tc>
      </w:tr>
    </w:tbl>
    <w:p>
      <w:pPr>
        <w:pStyle w:val="Heading1"/>
      </w:pPr>
      <w:r>
        <w:t>Wells Fargo</w:t>
      </w:r>
    </w:p>
    <w:p>
      <w:r>
        <w:rPr>
          <w:b/>
        </w:rPr>
        <w:t xml:space="preserve">Total Value: </w:t>
      </w:r>
      <w:r>
        <w:t xml:space="preserve">$1,970,000 | </w:t>
      </w:r>
      <w:r>
        <w:rPr>
          <w:b/>
        </w:rPr>
        <w:t xml:space="preserve">Yield: </w:t>
      </w:r>
      <w:r>
        <w:t xml:space="preserve">4.5% | </w:t>
      </w:r>
      <w:r>
        <w:rPr>
          <w:b/>
        </w:rPr>
        <w:t xml:space="preserve">2036 Projected: </w:t>
      </w:r>
      <w:r>
        <w:t>$1,100,000</w:t>
        <w:br/>
      </w:r>
      <w:r>
        <w:rPr>
          <w:b/>
        </w:rPr>
        <w:t xml:space="preserve">Holdings: </w:t>
      </w:r>
      <w:r>
        <w:t>100% SGOV (0-3 Month Treasury ETF)</w:t>
        <w:br/>
      </w:r>
      <w:r>
        <w:rPr>
          <w:b/>
        </w:rPr>
        <w:t xml:space="preserve">Purpose: </w:t>
      </w:r>
      <w:r>
        <w:t>Living expenses ($147K/yr) + Roth conversion taxes</w:t>
        <w:br/>
        <w:br/>
      </w:r>
      <w:r>
        <w:rPr>
          <w:b/>
        </w:rPr>
        <w:t>STATUS: SACRED COW - DO NOT CHANGE</w:t>
      </w:r>
    </w:p>
    <w:p>
      <w:r>
        <w:br w:type="page"/>
      </w:r>
    </w:p>
    <w:p>
      <w:pPr>
        <w:pStyle w:val="Heading1"/>
      </w:pPr>
      <w:r>
        <w:t>Rebalancing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Target Tiers</w:t>
            </w:r>
          </w:p>
        </w:tc>
        <w:tc>
          <w:tcPr>
            <w:tcW w:type="dxa" w:w="4320"/>
          </w:tcPr>
          <w:p>
            <w:r>
              <w:t>12% / 11% / 9% / 4%</w:t>
            </w:r>
          </w:p>
        </w:tc>
      </w:tr>
      <w:tr>
        <w:tc>
          <w:tcPr>
            <w:tcW w:type="dxa" w:w="4320"/>
          </w:tcPr>
          <w:p>
            <w:r>
              <w:t>Drift Trigger</w:t>
            </w:r>
          </w:p>
        </w:tc>
        <w:tc>
          <w:tcPr>
            <w:tcW w:type="dxa" w:w="4320"/>
          </w:tcPr>
          <w:p>
            <w:r>
              <w:t>±3% from target</w:t>
            </w:r>
          </w:p>
        </w:tc>
      </w:tr>
      <w:tr>
        <w:tc>
          <w:tcPr>
            <w:tcW w:type="dxa" w:w="4320"/>
          </w:tcPr>
          <w:p>
            <w:r>
              <w:t>Review Frequency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Hard Ceiling</w:t>
            </w:r>
          </w:p>
        </w:tc>
        <w:tc>
          <w:tcPr>
            <w:tcW w:type="dxa" w:w="4320"/>
          </w:tcPr>
          <w:p>
            <w:r>
              <w:t>20% maximum any position</w:t>
            </w:r>
          </w:p>
        </w:tc>
      </w:tr>
      <w:tr>
        <w:tc>
          <w:tcPr>
            <w:tcW w:type="dxa" w:w="4320"/>
          </w:tcPr>
          <w:p>
            <w:r>
              <w:t>Hard Floor</w:t>
            </w:r>
          </w:p>
        </w:tc>
        <w:tc>
          <w:tcPr>
            <w:tcW w:type="dxa" w:w="4320"/>
          </w:tcPr>
          <w:p>
            <w:r>
              <w:t>2% minimum (add or eliminate)</w:t>
            </w:r>
          </w:p>
        </w:tc>
      </w:tr>
    </w:tbl>
    <w:p>
      <w:pPr>
        <w:pStyle w:val="Heading1"/>
      </w:pPr>
      <w:r>
        <w:t>Changes from December 2025 Baseline</w:t>
      </w:r>
    </w:p>
    <w:p>
      <w:r>
        <w:rPr>
          <w:b/>
        </w:rPr>
        <w:t xml:space="preserve">Positions Reduced: </w:t>
      </w:r>
      <w:r>
        <w:t>34 → 20</w:t>
        <w:br/>
      </w:r>
      <w:r>
        <w:rPr>
          <w:b/>
        </w:rPr>
        <w:t xml:space="preserve">Individual Stocks: </w:t>
      </w:r>
      <w:r>
        <w:t>23 → 7</w:t>
        <w:br/>
      </w:r>
      <w:r>
        <w:rPr>
          <w:b/>
        </w:rPr>
        <w:t xml:space="preserve">ETFs: </w:t>
      </w:r>
      <w:r>
        <w:t>0 → 13</w:t>
        <w:br/>
      </w:r>
      <w:r>
        <w:rPr>
          <w:b/>
        </w:rPr>
        <w:t xml:space="preserve">Themes: </w:t>
      </w:r>
      <w:r>
        <w:t>3 → 4 (added Aerospace/Defense)</w:t>
        <w:br/>
        <w:br/>
      </w:r>
      <w:r>
        <w:rPr>
          <w:b/>
        </w:rPr>
        <w:t>Key Eliminations:</w:t>
        <w:br/>
      </w:r>
      <w:r>
        <w:t>• LLY, ISRG, VRTX → Now via XLV/IHI ETFs</w:t>
        <w:br/>
      </w:r>
      <w:r>
        <w:t>• NEE, EQIX, PWR → Now via XLU/GRID ETFs</w:t>
        <w:br/>
      </w:r>
      <w:r>
        <w:t>• V, MA, MSFT → Not core to thesis</w:t>
        <w:br/>
        <w:br/>
      </w:r>
      <w:r>
        <w:rPr>
          <w:b/>
        </w:rPr>
        <w:t>Key Additions:</w:t>
        <w:br/>
      </w:r>
      <w:r>
        <w:t>• XLV (12%) - Healthcare sector ETF</w:t>
        <w:br/>
      </w:r>
      <w:r>
        <w:t>• IHI (4%) - Medical devices ETF</w:t>
        <w:br/>
      </w:r>
      <w:r>
        <w:t>• ITA (9%) - Aerospace/Defense ETF</w:t>
        <w:br/>
      </w:r>
      <w:r>
        <w:t>• XLU (9%) - Utilities ETF</w:t>
        <w:br/>
      </w:r>
      <w:r>
        <w:t>• GRID (9%) - Grid infrastructure ETF</w:t>
        <w:br/>
      </w:r>
      <w:r>
        <w:t>• AVGO (4%) - Semiconductor diversification</w:t>
        <w:br/>
      </w:r>
    </w:p>
    <w:p>
      <w:pPr>
        <w:pStyle w:val="Heading1"/>
      </w:pPr>
      <w:r>
        <w:t>Document Control</w:t>
      </w:r>
    </w:p>
    <w:p>
      <w:r>
        <w:rPr>
          <w:b/>
        </w:rPr>
        <w:t xml:space="preserve">Version: </w:t>
      </w:r>
      <w:r>
        <w:t>2.0 - FINAL</w:t>
        <w:br/>
      </w:r>
      <w:r>
        <w:rPr>
          <w:b/>
        </w:rPr>
        <w:t xml:space="preserve">Date Created: </w:t>
      </w:r>
      <w:r>
        <w:t>January 2, 2026</w:t>
        <w:br/>
      </w:r>
      <w:r>
        <w:rPr>
          <w:b/>
        </w:rPr>
        <w:t xml:space="preserve">Status: </w:t>
      </w:r>
      <w:r>
        <w:t>Approved for Implementation</w:t>
        <w:br/>
      </w:r>
      <w:r>
        <w:rPr>
          <w:b/>
        </w:rPr>
        <w:t xml:space="preserve">Supersedes: </w:t>
      </w:r>
      <w:r>
        <w:t>December 2025 Baseline (for account allocations)</w:t>
        <w:br/>
      </w:r>
      <w:r>
        <w:rPr>
          <w:b/>
        </w:rPr>
        <w:t xml:space="preserve">Next Review: </w:t>
      </w:r>
      <w:r>
        <w:t>March 31, 2026 (Q1 Pressure Test)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