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olo1"/>
      </w:pPr>
      <w:r>
        <w:t>Blueprint – EGP TGX IT E&amp;C – Gestione Permitting Impianti Rinnovabili</w:t>
      </w:r>
    </w:p>
    <w:p>
      <w:pPr>
        <w:pStyle w:val="Titolo2"/>
      </w:pPr>
      <w:r>
        <w:t>1. Sommario Esecutivo</w:t>
      </w:r>
    </w:p>
    <w:p>
      <w:pPr/>
      <w:r>
        <w:t>Processi Identificati: Analisi Titoli Autorizzativi e Costruzione Lista Permessi; Estrazione Scadenze e Pianificazione; Strutturazione Dati e Monitoraggio Continuativo; Predisposizione Pratiche/Istanze e Supporto Engineering; Gestione Permitting di 2° Livello in Execution; Creazione e Mantenimento Catalogo Permessi.</w:t>
      </w:r>
    </w:p>
    <w:p>
      <w:pPr/>
      <w:r>
        <w:t>Contesto Generale: EGP TGX Engineering &amp; Construction (E&amp;C) gestisce le attività di permitting per la realizzazione di impianti di energia rinnovabile. Il processo parte dal progetto predisposto da Engineering (portato ad Investment Committee) e dai titoli/autorizzazioni forniti da Business Development (BD), su cui E&amp;C opera in execution e secondo livello. I tool digitali attualmente in uso sono IUP (utilizzato manualmente come repository di monitoraggio del lavoro svolto dal Permitting Manager, si applica a tutte le fasi) e Permitting Catalogue Management. Il processo è progettato come "generale" e deve essere adattabile a qualsiasi Paese, Regione e Realtà Locale specifici.</w:t>
      </w:r>
    </w:p>
    <w:p>
      <w:pPr/>
      <w:r>
        <w:t>Obiettivo della Soluzione: Sviluppare un Agente AI in grado di supportare l'intero ciclo di permitting E&amp;C — dall'analisi dei titoli alla costruzione della lista permessi, dalla stima dei tempi all'integrazione con il Gantt progetto, dal supporto alla predisposizione istanze al mantenimento del Catalogo Permessi — adattandosi alle specificità normative di ogni Paese/Regione e riducendo l'effort umano nelle attività ad alto carico manuale.</w:t>
      </w:r>
    </w:p>
    <w:p>
      <w:pPr/>
      <w:r>
        <w:t>Impatto Atteso: Riduzione dell'effort operativo nelle attività ad alta intensità manuale (costruzione lista permessi, predisposizione pratiche, gestione 2° livello); eliminazione degli errori di pianificazione tramite stime basate su dati storici per permesso e regione; knowledge management strutturato nel Catalogo Permessi; scalabilità del processo su qualsiasi contesto geografico.</w:t>
      </w:r>
    </w:p>
    <w:p>
      <w:pPr>
        <w:pStyle w:val="Titolo1"/>
      </w:pPr>
      <w:r>
        <w:t>Processo 1: Gestione Autorizzativa E&amp;C per Impianti Rinnovabili</w:t>
      </w:r>
    </w:p>
    <w:p>
      <w:pPr>
        <w:pStyle w:val="Titolo2"/>
      </w:pPr>
      <w:r>
        <w:t>Contesto e finalità</w:t>
      </w:r>
    </w:p>
    <w:p>
      <w:pPr/>
    </w:p>
    <w:p>
      <w:pPr/>
      <w:r>
        <w:t>Scopo:</w:t>
      </w:r>
    </w:p>
    <w:p>
      <w:pPr/>
      <w:r>
        <w:t>Gestire in modo strutturato e tracciabile le attività di permitting in carico a E&amp;C — non quelle svolte da BD (con eccezione dei casi di varianti/"secondo livello" in cui E&amp;C è responsabile) — coprendo l'intera catena: dall'analisi dei titoli autorizzativi e costruzione della lista permessi, alla pianificazione, al monitoraggio scadenze, alla predisposizione istanze, fino alla gestione dell'execution e al mantenimento del Catalogo Permessi.</w:t>
      </w:r>
    </w:p>
    <w:p>
      <w:pPr/>
      <w:r>
        <w:t>Vincoli chiave:</w:t>
      </w:r>
    </w:p>
    <w:p>
      <w:pPr/>
      <w:r>
        <w:t>Perimetro: solo attività di Permitting in carico a E&amp;C; BD rimane owner dei permessi di primo livello e deve approvare l'inserimento di nuovi permessi nel Catalogo. Input di partenza: progetto predisposto da Engineering (portato ad IC) e titoli/autorizzazioni da BD. Generalità: il processo deve essere adattabile a qualsiasi Paese/Regione/Realtà Locale specifica. Formati eterogenei: documenti con formati diversi, nessun template standard; l'AI deve confrontarsi con elaborati tecnici di ingegneria quando disponibili. Gestione elaborati: necessaria gestione delle differenze tra Disegno Esecutivo vs. Disegno Autorizzato, soprattutto in caso di modifiche durante l'esecuzione e impatti sulla documentazione autorizzata.</w:t>
      </w:r>
    </w:p>
    <w:p>
      <w:pPr/>
      <w:r>
        <w:t>Perimetro IN SCOPE:</w:t>
      </w:r>
    </w:p>
    <w:p>
      <w:pPr/>
      <w:r>
        <w:t>Analisi titoli autorizzativi e prescrizioni forniti da BD; costruzione e aggiornamento progressivo della lista permessi end-to-end (Permesso, Descrizione, Tempistiche, Owner); estrazione scadenze/vincoli temporali e stima tempi (normativi + storici per regione); integrazione con Gantt di progetto e segnalazione criticità al PM; strutturazione dati e monitoraggio continuativo in IUP; supporto alla predisposizione pratiche/istanze dove E&amp;C è responsabile (varianti/secondo livello); traduzione prescrizioni in requisiti documentali per Engineering; gestione permessi di 2° livello in execution; creazione e mantenimento Catalogo Permessi; monitoraggio panorama normativo (attività opzionale); analisi rischi e correlazioni tra permessi per derisking (attività opzionale, fase Development).</w:t>
      </w:r>
    </w:p>
    <w:p>
      <w:pPr/>
      <w:r>
        <w:t>Perimetro OUT OF SCOPE:</w:t>
      </w:r>
    </w:p>
    <w:p>
      <w:pPr/>
      <w:r>
        <w:t>Permitting di primo livello gestito da BD; progettazione tecnica degli impianti; esecuzione lavori costruttivi; gestione contratti fornitori; attività BD al di fuori di variante o secondo livello E&amp;C.</w:t>
      </w:r>
    </w:p>
    <w:p>
      <w:pPr>
        <w:pStyle w:val="Titolo2"/>
      </w:pPr>
      <w:r>
        <w:t>Stakeholder &amp; Partecipanti</w:t>
      </w:r>
    </w:p>
    <w:p>
      <w:pPr/>
    </w:p>
    <w:tbl>
      <w:tblPr>
        <w:tblStyle w:val="Grigliatabella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b/>
                <w:sz w:val="18"/>
              </w:rPr>
              <w:t>Ruolo</w:t>
            </w:r>
          </w:p>
        </w:tc>
        <w:tc>
          <w:tcPr>
            <w:tcW w:type="dxa" w:w="3213"/>
          </w:tcPr>
          <w:p>
            <w:r/>
            <w:r>
              <w:rPr>
                <w:b/>
                <w:sz w:val="18"/>
              </w:rPr>
              <w:t>Nome / Unità Org.</w:t>
            </w:r>
          </w:p>
        </w:tc>
        <w:tc>
          <w:tcPr>
            <w:tcW w:type="dxa" w:w="3213"/>
          </w:tcPr>
          <w:p>
            <w:r/>
            <w:r>
              <w:rPr>
                <w:b/>
                <w:sz w:val="18"/>
              </w:rPr>
              <w:t>Responsabilità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Business Owner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E&amp;C Permitting Manager, EGP TGX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Approva il Blueprint; valida requisiti di processo; responsabile risultati operativi E&amp;C Permitting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Data Owner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Permitting Data Steward, EGP TGX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Garantisce qualità e completezza dei dati in IUP e Permitting Catalogue Management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IT Owner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Digital Enabler IT Team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Responsabile infrastruttura e integrazione sistemi (IUP, Permitting Catalogue, AI Agent)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Product Owner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AI Solution Product Owner, E&amp;C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Gestisce backlog funzionale; allinea requisiti tra E&amp;C e Digital Enabler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Permitting Engineer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Team Permitting E&amp;C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Operatore principale: analisi titoli, costruzione lista permessi, predisposizione istanze, monitoraggio iter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Environmental Analyst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Team Ambientale E&amp;C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Supporto analisi vincoli ambientali e prescrizioni; validazione output screening AI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Legal / Regulatory Advisor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Ufficio Legale / Regulatory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Validazione conformità normativa; analisi impatti nuovi Decreti sul portafoglio permessi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Project Manager (PM)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Project Management E&amp;C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Gestione criticità temporali segnalate da Permitting; responsabile Gantt progetto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Planning Unit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Funzione Planning E&amp;C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Collabora alla stima tempi permessi e allineamento con schedule progetto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BD Representative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Business Development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Fornisce titoli/autorizzazioni a E&amp;C; owner permessi 1° livello; approva nuove voci Catalogo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IT Dev / AI Engineer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Digital Enabler / AI Team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Sviluppa e mantiene i moduli AI Agent; aggiornamento normativo nella Knowledge Base</w:t>
            </w:r>
          </w:p>
        </w:tc>
      </w:tr>
    </w:tbl>
    <w:p>
      <w:pPr>
        <w:pStyle w:val="Titolo2"/>
      </w:pPr>
      <w:r>
        <w:t>Processo AS-IS – Descrizione strutturata</w:t>
      </w:r>
    </w:p>
    <w:p>
      <w:pPr>
        <w:pStyle w:val="Titolo3"/>
      </w:pPr>
      <w:r>
        <w:t>Sistemi coinvolti (AS-IS)</w:t>
      </w:r>
    </w:p>
    <w:p>
      <w:pPr/>
    </w:p>
    <w:tbl>
      <w:tblPr>
        <w:tblStyle w:val="Grigliatabella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b/>
                <w:sz w:val="18"/>
              </w:rPr>
              <w:t>Sistema</w:t>
            </w:r>
          </w:p>
        </w:tc>
        <w:tc>
          <w:tcPr>
            <w:tcW w:type="dxa" w:w="3213"/>
          </w:tcPr>
          <w:p>
            <w:r/>
            <w:r>
              <w:rPr>
                <w:b/>
                <w:sz w:val="18"/>
              </w:rPr>
              <w:t>Ruolo nel Processo</w:t>
            </w:r>
          </w:p>
        </w:tc>
        <w:tc>
          <w:tcPr>
            <w:tcW w:type="dxa" w:w="3213"/>
          </w:tcPr>
          <w:p>
            <w:r/>
            <w:r>
              <w:rPr>
                <w:b/>
                <w:sz w:val="18"/>
              </w:rPr>
              <w:t>Tipologia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IUP (Integrated Unit Portal)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Utilizzato manualmente come repository per il solo monitoraggio del lavoro svolto dal Permitting Manager; si applica a tutte le fasi del processo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Tool Digitale di Processo (uso manuale)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Permitting Catalogue Management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Master Catalogue dei permessi; aggiornato da BD con permessi nuovi richiesti in itinere; E&amp;C e altri contribuiscono ma BD approva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Tool Digitale di Processo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Microsoft Excel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Check-list normative; pianificazione manuale scadenze e stima tempi; tracciamento stati permessi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Foglio di calcolo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Email / Posta Elettronica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Ricezione richieste nuove iniziative; comunicazioni con Enti e PA per integrazioni pratiche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Strumento di Comunicazione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SAP (PM / DMS)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Archiviazione documentale ufficiale; gestione ticket attività; consultazione dati progetto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ERP / Document Management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Portali Regionali / Comunali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Ricerca manuale format e moduli per presentazione istanze; recupero regolamenti comunali e riferimenti applicabili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Portale Web PA (accesso manuale)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Portali Ministero / Gazzette Ufficiali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Consultazione Decreti Legislativi e normative applicabili ai progetti WSB-HGT (attività opzionale)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Portale Web Istituzionale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Tool Gantt / Scheduling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Inserimento e monitoraggio lista permessi nel piano di progetto; coordinamento con Planning Unit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Tool di Project Planning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Documentazione Tecnica Ingegneria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Elaborati tecnici (Disegno Esecutivo vs. Disegno Autorizzato) per analisi prescrizioni e varianti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Documentazione Tecnica (vari formati)</w:t>
            </w:r>
          </w:p>
        </w:tc>
      </w:tr>
    </w:tbl>
    <w:p>
      <w:pPr>
        <w:pStyle w:val="Titolo3"/>
      </w:pPr>
      <w:r>
        <w:t>AS-IS – AS-IS Process Cards</w:t>
      </w:r>
    </w:p>
    <w:p>
      <w:pPr/>
    </w:p>
    <w:tbl>
      <w:tblPr>
        <w:tblStyle w:val="Grigliatabella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</w:tcPr>
          <w:p>
            <w:r/>
            <w:r>
              <w:rPr>
                <w:b/>
                <w:sz w:val="18"/>
              </w:rPr>
              <w:t>Macroattività</w:t>
            </w:r>
          </w:p>
        </w:tc>
        <w:tc>
          <w:tcPr>
            <w:tcW w:type="dxa" w:w="1606"/>
          </w:tcPr>
          <w:p>
            <w:r/>
            <w:r>
              <w:rPr>
                <w:b/>
                <w:sz w:val="18"/>
              </w:rPr>
              <w:t>Input</w:t>
            </w:r>
          </w:p>
        </w:tc>
        <w:tc>
          <w:tcPr>
            <w:tcW w:type="dxa" w:w="1606"/>
          </w:tcPr>
          <w:p>
            <w:r/>
            <w:r>
              <w:rPr>
                <w:b/>
                <w:sz w:val="18"/>
              </w:rPr>
              <w:t>Attività</w:t>
            </w:r>
          </w:p>
        </w:tc>
        <w:tc>
          <w:tcPr>
            <w:tcW w:type="dxa" w:w="1606"/>
          </w:tcPr>
          <w:p>
            <w:r/>
            <w:r>
              <w:rPr>
                <w:b/>
                <w:sz w:val="18"/>
              </w:rPr>
              <w:t>Output</w:t>
            </w:r>
          </w:p>
        </w:tc>
        <w:tc>
          <w:tcPr>
            <w:tcW w:type="dxa" w:w="1606"/>
          </w:tcPr>
          <w:p>
            <w:r/>
            <w:r>
              <w:rPr>
                <w:b/>
                <w:sz w:val="18"/>
              </w:rPr>
              <w:t>Punto Critico</w:t>
            </w:r>
          </w:p>
        </w:tc>
        <w:tc>
          <w:tcPr>
            <w:tcW w:type="dxa" w:w="1606"/>
          </w:tcPr>
          <w:p>
            <w:r/>
            <w:r>
              <w:rPr>
                <w:b/>
                <w:sz w:val="18"/>
              </w:rPr>
              <w:t>Intervento Umano</w:t>
            </w:r>
          </w:p>
        </w:tc>
      </w:tr>
      <w:tr>
        <w:tc>
          <w:tcPr>
            <w:tcW w:type="dxa" w:w="1606"/>
          </w:tcPr>
          <w:p>
            <w:r/>
            <w:r>
              <w:rPr>
                <w:b w:val="0"/>
                <w:sz w:val="18"/>
              </w:rPr>
              <w:t>A — Analisi Titoli e Costruzione Lista Permessi (§1+§2)</w:t>
            </w:r>
          </w:p>
        </w:tc>
        <w:tc>
          <w:tcPr>
            <w:tcW w:type="dxa" w:w="1606"/>
          </w:tcPr>
          <w:p>
            <w:r/>
            <w:r>
              <w:rPr>
                <w:b w:val="0"/>
                <w:sz w:val="18"/>
              </w:rPr>
              <w:t>Progetto da Engineering (post-IC); Titoli/autorizzazioni da BD; Permitting Catalogue</w:t>
            </w:r>
          </w:p>
        </w:tc>
        <w:tc>
          <w:tcPr>
            <w:tcW w:type="dxa" w:w="1606"/>
          </w:tcPr>
          <w:p>
            <w:r/>
            <w:r>
              <w:rPr>
                <w:b w:val="0"/>
                <w:sz w:val="18"/>
              </w:rPr>
              <w:t>1. Definizione perimetro (E&amp;C vs BD)</w:t>
              <w:br/>
              <w:t>2. Analisi manuale titoli e prescrizioni</w:t>
              <w:br/>
              <w:t>3. Costruzione lista permessi tabellare (Permesso, Descrizione, Tempistiche, Owner)</w:t>
              <w:br/>
              <w:t>4. Marcatura permessi BD già ottenuti</w:t>
              <w:br/>
              <w:t>5. Aggiornamento progressivo con nuovi titoli</w:t>
            </w:r>
          </w:p>
        </w:tc>
        <w:tc>
          <w:tcPr>
            <w:tcW w:type="dxa" w:w="1606"/>
          </w:tcPr>
          <w:p>
            <w:r/>
            <w:r>
              <w:rPr>
                <w:b w:val="0"/>
                <w:sz w:val="18"/>
              </w:rPr>
              <w:t>Lista permessi end-to-end validata; Permessi BD marcati "smarcati"; Prescrizioni estratte</w:t>
            </w:r>
          </w:p>
        </w:tc>
        <w:tc>
          <w:tcPr>
            <w:tcW w:type="dxa" w:w="1606"/>
          </w:tcPr>
          <w:p>
            <w:r/>
            <w:r>
              <w:rPr>
                <w:b w:val="0"/>
                <w:sz w:val="18"/>
              </w:rPr>
              <w:t>Documenti con formati diversi, nessun template standard; AI deve confrontarsi con elaborati tecnici; mancanza di standardizzazione</w:t>
            </w:r>
          </w:p>
        </w:tc>
        <w:tc>
          <w:tcPr>
            <w:tcW w:type="dxa" w:w="1606"/>
          </w:tcPr>
          <w:p>
            <w:r/>
            <w:r>
              <w:rPr>
                <w:b w:val="0"/>
                <w:sz w:val="18"/>
              </w:rPr>
              <w:t>ALTO — analisi manuale normative e moduli; ricerca canali di presentazione PA per permessi di 2° livello; validazione owner per ogni prescrizione</w:t>
            </w:r>
          </w:p>
        </w:tc>
      </w:tr>
      <w:tr>
        <w:tc>
          <w:tcPr>
            <w:tcW w:type="dxa" w:w="1606"/>
          </w:tcPr>
          <w:p>
            <w:r/>
            <w:r>
              <w:rPr>
                <w:b w:val="0"/>
                <w:sz w:val="18"/>
              </w:rPr>
              <w:t>B — Estrazione Scadenze, Pianificazione e Strutturazione Dati (§3+§4+§5)</w:t>
            </w:r>
          </w:p>
        </w:tc>
        <w:tc>
          <w:tcPr>
            <w:tcW w:type="dxa" w:w="1606"/>
          </w:tcPr>
          <w:p>
            <w:r/>
            <w:r>
              <w:rPr>
                <w:b w:val="0"/>
                <w:sz w:val="18"/>
              </w:rPr>
              <w:t>Lista permessi validata; Titoli; Gantt progetto; Dati storici (esperienza personale); Planning Unit</w:t>
            </w:r>
          </w:p>
        </w:tc>
        <w:tc>
          <w:tcPr>
            <w:tcW w:type="dxa" w:w="1606"/>
          </w:tcPr>
          <w:p>
            <w:r/>
            <w:r>
              <w:rPr>
                <w:b w:val="0"/>
                <w:sz w:val="18"/>
              </w:rPr>
              <w:t>1. Estrazione manuale scadenze e vincoli temporali dai titoli</w:t>
              <w:br/>
              <w:t>2. Stima tempi combinando dati normativi e storici (con Planning Unit)</w:t>
              <w:br/>
              <w:t>3. Inserimento lista permessi nel Gantt con predecessori-successori</w:t>
              <w:br/>
              <w:t>4. Strutturazione dati in tabella</w:t>
              <w:br/>
              <w:t>5. Monitoraggio continuativo avanzamento in IUP</w:t>
            </w:r>
          </w:p>
        </w:tc>
        <w:tc>
          <w:tcPr>
            <w:tcW w:type="dxa" w:w="1606"/>
          </w:tcPr>
          <w:p>
            <w:r/>
            <w:r>
              <w:rPr>
                <w:b w:val="0"/>
                <w:sz w:val="18"/>
              </w:rPr>
              <w:t>Piano autorizzativo integrato nel Gantt; Struttura tabellare stati permessi; Alert criticità per PM</w:t>
            </w:r>
          </w:p>
        </w:tc>
        <w:tc>
          <w:tcPr>
            <w:tcW w:type="dxa" w:w="1606"/>
          </w:tcPr>
          <w:p>
            <w:r/>
            <w:r>
              <w:rPr>
                <w:b w:val="0"/>
                <w:sz w:val="18"/>
              </w:rPr>
              <w:t>Stima temporale basata su esperienza personale; Gantt aggiornato manualmente; monitoraggio scadenze frammentato</w:t>
            </w:r>
          </w:p>
        </w:tc>
        <w:tc>
          <w:tcPr>
            <w:tcW w:type="dxa" w:w="1606"/>
          </w:tcPr>
          <w:p>
            <w:r/>
            <w:r>
              <w:rPr>
                <w:b w:val="0"/>
                <w:sz w:val="18"/>
              </w:rPr>
              <w:t>MEDIO — coordinamento con Planning Unit; segnalazione manuale criticità al PM; gestione proroghe manuale</w:t>
            </w:r>
          </w:p>
        </w:tc>
      </w:tr>
      <w:tr>
        <w:tc>
          <w:tcPr>
            <w:tcW w:type="dxa" w:w="1606"/>
          </w:tcPr>
          <w:p>
            <w:r/>
            <w:r>
              <w:rPr>
                <w:b w:val="0"/>
                <w:sz w:val="18"/>
              </w:rPr>
              <w:t>C — Predisposizione Pratiche/Istanze e Supporto Engineering (§5b+§6)</w:t>
            </w:r>
          </w:p>
        </w:tc>
        <w:tc>
          <w:tcPr>
            <w:tcW w:type="dxa" w:w="1606"/>
          </w:tcPr>
          <w:p>
            <w:r/>
            <w:r>
              <w:rPr>
                <w:b w:val="0"/>
                <w:sz w:val="18"/>
              </w:rPr>
              <w:t>Lista permessi; Normative regionali/comunali; Template istanze; Prescrizioni da titoli</w:t>
            </w:r>
          </w:p>
        </w:tc>
        <w:tc>
          <w:tcPr>
            <w:tcW w:type="dxa" w:w="1606"/>
          </w:tcPr>
          <w:p>
            <w:r/>
            <w:r>
              <w:rPr>
                <w:b w:val="0"/>
                <w:sz w:val="18"/>
              </w:rPr>
              <w:t>1. Ricerca manuale format e moduli su portali Regione/Comune</w:t>
              <w:br/>
              <w:t>2. Compilazione e invio istanze (E&amp;C responsabile: varianti/2° livello)</w:t>
              <w:br/>
              <w:t>3. Traduzione prescrizioni in requisiti per Engineering</w:t>
              <w:br/>
              <w:t>4. Verifica elaborati tecnici (Esecutivo vs. Autorizzato)</w:t>
            </w:r>
          </w:p>
        </w:tc>
        <w:tc>
          <w:tcPr>
            <w:tcW w:type="dxa" w:w="1606"/>
          </w:tcPr>
          <w:p>
            <w:r/>
            <w:r>
              <w:rPr>
                <w:b w:val="0"/>
                <w:sz w:val="18"/>
              </w:rPr>
              <w:t>Istanze predisposte e inviate; Requisiti documentali per Engineering; Gap Esecutivo/Autorizzato identificati</w:t>
            </w:r>
          </w:p>
        </w:tc>
        <w:tc>
          <w:tcPr>
            <w:tcW w:type="dxa" w:w="1606"/>
          </w:tcPr>
          <w:p>
            <w:r/>
            <w:r>
              <w:rPr>
                <w:b w:val="0"/>
                <w:sz w:val="18"/>
              </w:rPr>
              <w:t>Analisi normative regionali eterogenee; nessun supporto automatizzato ricerca format; differenze Esecutivo vs. Autorizzato critiche in variante</w:t>
            </w:r>
          </w:p>
        </w:tc>
        <w:tc>
          <w:tcPr>
            <w:tcW w:type="dxa" w:w="1606"/>
          </w:tcPr>
          <w:p>
            <w:r/>
            <w:r>
              <w:rPr>
                <w:b w:val="0"/>
                <w:sz w:val="18"/>
              </w:rPr>
              <w:t>ALTO — analisi normative/moduli; pagamenti; analisi canali PA; raccolta autorizzazioni 2° livello</w:t>
            </w:r>
          </w:p>
        </w:tc>
      </w:tr>
      <w:tr>
        <w:tc>
          <w:tcPr>
            <w:tcW w:type="dxa" w:w="1606"/>
          </w:tcPr>
          <w:p>
            <w:r/>
            <w:r>
              <w:rPr>
                <w:b w:val="0"/>
                <w:sz w:val="18"/>
              </w:rPr>
              <w:t>D — Execution, Catalogo Permessi e Knowledge Management (§7+§8+§9opt+§10opt)</w:t>
            </w:r>
          </w:p>
        </w:tc>
        <w:tc>
          <w:tcPr>
            <w:tcW w:type="dxa" w:w="1606"/>
          </w:tcPr>
          <w:p>
            <w:r/>
            <w:r>
              <w:rPr>
                <w:b w:val="0"/>
                <w:sz w:val="18"/>
              </w:rPr>
              <w:t>Lista permessi aggiornata; Titoli execution; Permitting Catalogue; Gazzette Ufficiali/Decreti (opz.)</w:t>
            </w:r>
          </w:p>
        </w:tc>
        <w:tc>
          <w:tcPr>
            <w:tcW w:type="dxa" w:w="1606"/>
          </w:tcPr>
          <w:p>
            <w:r/>
            <w:r>
              <w:rPr>
                <w:b w:val="0"/>
                <w:sz w:val="18"/>
              </w:rPr>
              <w:t>1. Gestione permessi 2° livello/varianti in execution</w:t>
              <w:br/>
              <w:t>2. Aggiornamento Permitting Catalogue con nuovi permessi</w:t>
              <w:br/>
              <w:t>3. Creazione/aggiornamento Guide permessi</w:t>
              <w:br/>
              <w:t>4. Monitoraggio panorama normativo (opz.)</w:t>
              <w:br/>
              <w:t>5. Analisi correlazioni/sequenzialità permessi per derisking (opz., Development)</w:t>
            </w:r>
          </w:p>
        </w:tc>
        <w:tc>
          <w:tcPr>
            <w:tcW w:type="dxa" w:w="1606"/>
          </w:tcPr>
          <w:p>
            <w:r/>
            <w:r>
              <w:rPr>
                <w:b w:val="0"/>
                <w:sz w:val="18"/>
              </w:rPr>
              <w:t>Permitting Catalogue aggiornato; Guide permessi; Alert normativi; Mappa correlazioni permessi</w:t>
            </w:r>
          </w:p>
        </w:tc>
        <w:tc>
          <w:tcPr>
            <w:tcW w:type="dxa" w:w="1606"/>
          </w:tcPr>
          <w:p>
            <w:r/>
            <w:r>
              <w:rPr>
                <w:b w:val="0"/>
                <w:sz w:val="18"/>
              </w:rPr>
              <w:t>Diversi formati documenti; Disegno Esecutivo vs. Autorizzato; catalogo non sempre aggiornato; reperimento canale Decreti Ministeriali</w:t>
            </w:r>
          </w:p>
        </w:tc>
        <w:tc>
          <w:tcPr>
            <w:tcW w:type="dxa" w:w="1606"/>
          </w:tcPr>
          <w:p>
            <w:r/>
            <w:r>
              <w:rPr>
                <w:b w:val="0"/>
                <w:sz w:val="18"/>
              </w:rPr>
              <w:t>ALTO per execution 2° livello; MEDIO per aggiornamento catalogo; BASSO per derisking (gestito a monte da BD in Development)</w:t>
            </w:r>
          </w:p>
        </w:tc>
      </w:tr>
    </w:tbl>
    <w:p>
      <w:pPr/>
      <w:r>
        <w:t>AS-IS Sequence (parte 1) — Analisi Titoli, Costruzione Lista Permessi e Pianificazione</w:t>
      </w:r>
    </w:p>
    <w:p>
      <w:pPr/>
    </w:p>
    <w:tbl>
      <w:tblPr>
        <w:tblStyle w:val="Grigliatabella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/>
            <w:r>
              <w:rPr>
                <w:b/>
                <w:sz w:val="18"/>
              </w:rPr>
              <w:t>Step</w:t>
            </w:r>
          </w:p>
        </w:tc>
        <w:tc>
          <w:tcPr>
            <w:tcW w:type="dxa" w:w="2409"/>
          </w:tcPr>
          <w:p>
            <w:r/>
            <w:r>
              <w:rPr>
                <w:b/>
                <w:sz w:val="18"/>
              </w:rPr>
              <w:t>Attore</w:t>
            </w:r>
          </w:p>
        </w:tc>
        <w:tc>
          <w:tcPr>
            <w:tcW w:type="dxa" w:w="2409"/>
          </w:tcPr>
          <w:p>
            <w:r/>
            <w:r>
              <w:rPr>
                <w:b/>
                <w:sz w:val="18"/>
              </w:rPr>
              <w:t>Attività</w:t>
            </w:r>
          </w:p>
        </w:tc>
        <w:tc>
          <w:tcPr>
            <w:tcW w:type="dxa" w:w="2409"/>
          </w:tcPr>
          <w:p>
            <w:r/>
            <w:r>
              <w:rPr>
                <w:b/>
                <w:sz w:val="18"/>
              </w:rPr>
              <w:t>Sistemi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Permitting Engineer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Ricezione richiesta nuova iniziativa progettuale e titoli/autorizzazioni da BD; definizione perimetro applicazione (E&amp;C vs BD)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Email / SAP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Permitting Engineer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Analisi manuale titoli autorizzativi: estrazione prescrizioni e individuazione autorizzazioni richieste end-to-end; analisi del progetto (tipologia, country/area)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Documentazione tecnica / Excel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Permitting Engineer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Costruzione lista permessi tabellare a 360° (Permesso, Descrizione, Tempistiche, Owner) su Excel; marcatura permessi BD già ottenuti come "smarcati"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Excel / IUP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Permitting Engineer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Aggiornamento progressivo lista: quando arrivano nuovi titoli si aggiungono prescrizioni; si archiviano autorizzazioni ottenute in IUP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IUP / Excel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Permitting Engineer + Planning Unit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Estrazione scadenze e vincoli temporali dai titoli; stima tempi combinando dati normativi di legge e storico reale basato su esperienza personale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Excel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Permitting Engineer + Planning Unit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Inserimento lista permessi nel Gantt con predecessori-successori e attività propedeutiche Engineering; allineamento con schedule complessiva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Tool Gantt / Excel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Permitting Engineer → PM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Evidenza criticità al Project Manager quando timeline permessi (normativa/storica) non è compatibile con il piano di progetto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Email / SAP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Permitting Engineer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Strutturazione dati in IUP: permessi/prescrizioni/scadenze/stati/correlazioni; monitoraggio continuativo avanzamento (gran parte del lavoro operativo)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IUP / Excel</w:t>
            </w:r>
          </w:p>
        </w:tc>
      </w:tr>
    </w:tbl>
    <w:p>
      <w:pPr/>
    </w:p>
    <w:p>
      <w:pPr/>
      <w:r>
        <w:t>AS-IS Sequence (parte 2) — Predisposizione Pratiche, Execution e Knowledge Management</w:t>
      </w:r>
    </w:p>
    <w:p>
      <w:pPr/>
    </w:p>
    <w:tbl>
      <w:tblPr>
        <w:tblStyle w:val="Grigliatabella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/>
            <w:r>
              <w:rPr>
                <w:b/>
                <w:sz w:val="18"/>
              </w:rPr>
              <w:t>Step</w:t>
            </w:r>
          </w:p>
        </w:tc>
        <w:tc>
          <w:tcPr>
            <w:tcW w:type="dxa" w:w="2409"/>
          </w:tcPr>
          <w:p>
            <w:r/>
            <w:r>
              <w:rPr>
                <w:b/>
                <w:sz w:val="18"/>
              </w:rPr>
              <w:t>Attore</w:t>
            </w:r>
          </w:p>
        </w:tc>
        <w:tc>
          <w:tcPr>
            <w:tcW w:type="dxa" w:w="2409"/>
          </w:tcPr>
          <w:p>
            <w:r/>
            <w:r>
              <w:rPr>
                <w:b/>
                <w:sz w:val="18"/>
              </w:rPr>
              <w:t>Attività</w:t>
            </w:r>
          </w:p>
        </w:tc>
        <w:tc>
          <w:tcPr>
            <w:tcW w:type="dxa" w:w="2409"/>
          </w:tcPr>
          <w:p>
            <w:r/>
            <w:r>
              <w:rPr>
                <w:b/>
                <w:sz w:val="18"/>
              </w:rPr>
              <w:t>Sistemi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Permitting Engineer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Ricerca manuale format e moduli su portali Regione/Comune; recupero regolamenti comunali e riferimenti applicabili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Portali Regionali/Comunali / Browser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Permitting Engineer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Compilazione e presentazione istanze dove E&amp;C è responsabile (varianti/"secondo livello"): verifica eterogeneità normativa regionale e canali PA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Portali PA / Email / SAP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Permitting Engineer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Ricezione richieste di integrazione da PA; gestione e risposta nei tempi previsti; eventuale richiesta di proroga scadenze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Email / PEC / Portali PA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Permitting Engineer → Engineering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Traduzione prescrizioni e requisiti in input chiari per Engineering (come costruire la documentazione richiesta dall'ente); verifica elaborati ricevuti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Email / SAP / Documentazione tecnica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Permitting Engineer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Verifica differenze Disegno Esecutivo vs. Disegno Autorizzato in caso di modifiche durante execution; analisi impatti su documentazione autorizzata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Documentazione tecnica / SAP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Permitting Engineer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Gestione permessi 2° livello/varianti in execution: analisi tecnico-normativa, compilazione e presentazione varianti a PA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Portali PA / SAP / Documentazione tecnica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Permitting Engineer → BD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Se emerge nuovo permesso in itinere: proposta aggiunta al Permitting Catalogue; approvazione BD; aggiornamento Master Catalogue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Permitting Catalogue Management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Permitting Engineer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Creazione e aggiornamento Guide di permessi nel Catalogo; mantenimento catalogo vivo con permessi ottenuti nei progetti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Permitting Catalogue Management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Permitting Engineer (opz.)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Monitoraggio panorama normativo: consultazione Gazzette Ufficiali e Decreti Ministeriali WSB-HGT; informazione cambi normativi e impatti progetti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Portali Ministero / Gazzette Ufficiali</w:t>
            </w:r>
          </w:p>
        </w:tc>
      </w:tr>
    </w:tbl>
    <w:p>
      <w:pPr>
        <w:pStyle w:val="Titolo3"/>
      </w:pPr>
      <w:r>
        <w:t>2.4 Pain point principali (AS-IS)</w:t>
      </w:r>
    </w:p>
    <w:p>
      <w:pPr/>
    </w:p>
    <w:p>
      <w:pPr/>
      <w:r>
        <w:t>Pain Point per Macroattività (fonte: sintesi processo end to end E&amp;C Permitting)</w:t>
      </w:r>
    </w:p>
    <w:p>
      <w:pPr>
        <w:pStyle w:val="Paragrafoelenco"/>
      </w:pPr>
      <w:r>
        <w:t>§1 – Perimetro e Input: diversi formati dei documenti ricevuti da Engineering/BD, nessun template standard; AI deve confrontarsi con elaborati tecnici di ingegneria; gestione differenze tra Disegno Esecutivo vs. Disegno Autorizzato, soprattutto in caso di modifiche durante l'esecuzione.</w:t>
      </w:r>
    </w:p>
    <w:p>
      <w:pPr>
        <w:pStyle w:val="Paragrafoelenco"/>
      </w:pPr>
      <w:r>
        <w:t>§2 – Lista Permessi: analisi normative Regionali e canali di presentazione eterogenei; costruzione lista a 360° completamente manuale.</w:t>
      </w:r>
    </w:p>
    <w:p>
      <w:pPr>
        <w:pStyle w:val="Paragrafoelenco"/>
      </w:pPr>
      <w:r>
        <w:t>§3 – Scadenze/Tempi: monitoraggio scadenze ed eventuali richieste di proroga manuali; stima temporale basata su esperienza personale senza dati storici strutturati per permesso e regione specifica.</w:t>
      </w:r>
    </w:p>
    <w:p>
      <w:pPr>
        <w:pStyle w:val="Paragrafoelenco"/>
      </w:pPr>
      <w:r>
        <w:t>§4 – Allineamento Gantt: Gantt da aggiornare e monitorare manualmente con predecessori-successori; segnalazione criticità reattiva.</w:t>
      </w:r>
    </w:p>
    <w:p>
      <w:pPr>
        <w:pStyle w:val="Paragrafoelenco"/>
      </w:pPr>
      <w:r>
        <w:t>§5b – Predisposizione Pratiche: analisi normative Regionali e canali di presentazione; effettuazione pagamenti; raccolta autorizzazioni di 2° livello emesse.</w:t>
      </w:r>
    </w:p>
    <w:p>
      <w:pPr>
        <w:pStyle w:val="Paragrafoelenco"/>
      </w:pPr>
      <w:r>
        <w:t>§7 – Execution/2° Livello: diversi formati documenti, nessun template standard; gestione differenze Disegno Esecutivo vs. Autorizzato in caso di varianti; analisi tecnico-normativa fondamentale.</w:t>
      </w:r>
    </w:p>
    <w:p>
      <w:pPr>
        <w:pStyle w:val="Paragrafoelenco"/>
      </w:pPr>
      <w:r>
        <w:t>§8 – Catalogo Permessi: catalogo non sempre aggiornato; diversi formati documenti; gestione Disegno Esecutivo vs. Autorizzato.</w:t>
      </w:r>
    </w:p>
    <w:p>
      <w:pPr>
        <w:pStyle w:val="Paragrafoelenco"/>
      </w:pPr>
      <w:r>
        <w:t>§9 – Normativo (opz.): reperimento del giusto canale informativo per i principali Decreti che impattano i Progetti WSB-HGT pubblicati a livello Ministeriale.</w:t>
      </w:r>
    </w:p>
    <w:p>
      <w:pPr>
        <w:pStyle w:val="Paragrafoelenco"/>
      </w:pPr>
      <w:r>
        <w:t>§10 – Derisking (opz.): difficoltà dipende dalle interfacce del processo e permesso specifico; attività "nice to have" gestita a monte in fase Development da BD.</w:t>
      </w:r>
    </w:p>
    <w:p>
      <w:pPr>
        <w:pStyle w:val="Paragrafoelenco"/>
      </w:pPr>
      <w:r>
        <w:t>Nota generale: IUP utilizzato "a mano" come repository per il solo monitoraggio — il processo è "generale" e l'Agente AI deve essere in grado di adattarsi a ogni Paese/Regione/Realtà Locale specifica.</w:t>
      </w:r>
    </w:p>
    <w:p>
      <w:pPr>
        <w:pStyle w:val="Titolo2"/>
      </w:pPr>
      <w:r>
        <w:t>Processo TO-BE</w:t>
      </w:r>
    </w:p>
    <w:p>
      <w:pPr>
        <w:pStyle w:val="Titolo3"/>
      </w:pPr>
      <w:r>
        <w:t>3.1 Architettura Funzionale AI</w:t>
      </w:r>
    </w:p>
    <w:p>
      <w:pPr/>
    </w:p>
    <w:tbl>
      <w:tblPr>
        <w:tblStyle w:val="Grigliatabella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b/>
                <w:sz w:val="18"/>
              </w:rPr>
              <w:t>Componente AI</w:t>
            </w:r>
          </w:p>
        </w:tc>
        <w:tc>
          <w:tcPr>
            <w:tcW w:type="dxa" w:w="3213"/>
          </w:tcPr>
          <w:p>
            <w:r/>
            <w:r>
              <w:rPr>
                <w:b/>
                <w:sz w:val="18"/>
              </w:rPr>
              <w:t>Funzione</w:t>
            </w:r>
          </w:p>
        </w:tc>
        <w:tc>
          <w:tcPr>
            <w:tcW w:type="dxa" w:w="3213"/>
          </w:tcPr>
          <w:p>
            <w:r/>
            <w:r>
              <w:rPr>
                <w:b/>
                <w:sz w:val="18"/>
              </w:rPr>
              <w:t>Tecnologia/Metodo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Permit Intelligence Agent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Analisi automatica titoli autorizzativi ed elaborati tecnici (formati eterogenei); estrazione prescrizioni; costruzione lista permessi strutturata (Permesso, Descrizione, Tempistiche, Owner); rilevamento differenze Disegno Esecutivo vs. Autorizzato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Azure AI Document Intelligence + GPT-4o; Parser multi-formato (PDF, DOCX, XLSX)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Normative Knowledge Base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Repository strutturato di normative nazionali, regionali e comunali adattabile a ogni Paese/Regione; aggiornamento automatico da Gazzette Ufficiali e Decreti Ministeriali; alert impatti normativi su portafoglio progetti WSB-HGT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Azure AI Search + RAG; Scraping Gazzette Ufficiali / Portali Ministero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Schedule &amp; Planning Assistant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Stima tempi permessi combinando dati normativi di legge e dati storici reali per permesso e regione specifica; integrazione automatica lista permessi nel Gantt con predecessori-successori; alert criticità temporali al PM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ML Prediction Model (storico permesso+regione); API integrazione Gantt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Data Structuring &amp; Monitoring Engine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Organizzazione struttura tabellare permessi/prescrizioni/scadenze/stati/correlazioni in IUP; monitoraggio continuativo 24/7; alerting proattivo scadenze; gestione proroghe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IUP API Integration; Rule Engine + Alerting; Dashboard real-time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Permit Application Support Agent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Ricerca automatica format e moduli su portali Regione/Comune; supporto predisposizione istanze E&amp;C (varianti/2° livello); gestione variabilità territoriale; analisi richieste di integrazione PA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Web Scraping Agent; NLP Form Filling; Portali PA API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Engineering Requirements Advisor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Traduzione prescrizioni in input strutturati per Engineering; verifica coerenza elaborati ricevuti rispetto alle prescrizioni; segnalazione gap Disegno Esecutivo vs. Autorizzato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NLP Engine; Document Comparison; GPT-4o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Permitting Catalogue Manager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Creazione e aggiornamento Catalogo Permessi da progetti eseguiti; suggerimento lista permessi per nuovi progetti; workflow approvazione BD per nuove voci; creazione/aggiornamento Guide permessi; supporto derisking (opz.)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Knowledge Graph; Permitting Catalogue Management API; Workflow Approval BD</w:t>
            </w:r>
          </w:p>
        </w:tc>
      </w:tr>
    </w:tbl>
    <w:p>
      <w:pPr>
        <w:pStyle w:val="Titolo3"/>
      </w:pPr>
      <w:r>
        <w:t>3.2 Sequenza Operativa di Dettaglio</w:t>
      </w:r>
    </w:p>
    <w:p>
      <w:pPr/>
      <w:r>
        <w:t>TO-BE Sequence (parte 1) — Analisi Titoli, Lista Permessi e Pianificazione AI-Driven</w:t>
      </w:r>
    </w:p>
    <w:p>
      <w:pPr/>
    </w:p>
    <w:tbl>
      <w:tblPr>
        <w:tblStyle w:val="Grigliatabella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</w:tcPr>
          <w:p>
            <w:r/>
            <w:r>
              <w:rPr>
                <w:b/>
                <w:sz w:val="18"/>
              </w:rPr>
              <w:t>Step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8"/>
              </w:rPr>
              <w:t>Attore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8"/>
              </w:rPr>
              <w:t>Attività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8"/>
              </w:rPr>
              <w:t>AI + Intervento Umano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8"/>
              </w:rPr>
              <w:t>Sistemi</w:t>
            </w:r>
          </w:p>
        </w:tc>
      </w:tr>
      <w:tr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Permitting Engineer + AI Agent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Input progetto Engineering + titoli/autorizzazioni BD; AI analizza documenti (formati eterogenei) ed estrae prescrizioni e informazioni strutturate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AI Agent legge e classifica automaticamente documenti multi-formato; HITL: Permitting Engineer valida perimetro applicazione (E&amp;C vs BD)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Permit Intelligence Agent / SAP / IUP</w:t>
            </w:r>
          </w:p>
        </w:tc>
      </w:tr>
      <w:tr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AI Agent (automatico)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Costruzione automatica lista permessi end-to-end a 360° (Permesso, Descrizione, Tempistiche, Owner); marcatura permessi BD già ottenuti come "smarcati"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AI genera lista completa da titoli e Catalogo; HITL: Permitting Engineer valida e completa la lista; aggiornamento progressivo automatico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Permit Intelligence Agent / IUP / Permitting Catalogue Manager</w:t>
            </w:r>
          </w:p>
        </w:tc>
      </w:tr>
      <w:tr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AI Agent + Planning Unit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Stima automatica tempi combinando dati normativi di legge e dati storici reali per permesso e regione specifica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AI propone piano temporale con range di confidenza per regione; HITL: Planning Unit valida stime e corregge outlier basati su contesto locale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Schedule &amp; Planning Assistant</w:t>
            </w:r>
          </w:p>
        </w:tc>
      </w:tr>
      <w:tr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AI Agent (automatico)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Integrazione lista permessi nel Gantt con predecessori-successori e attività propedeutiche; alert automatico al PM se timeline permessi non compatibile con schedule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Integrazione automatica nel Gantt; HITL: PM valida criticità e decide azioni; Permitting Engineer aggiorna dati se necessario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Schedule &amp; Planning Assistant / Gantt API / Workflow Engine</w:t>
            </w:r>
          </w:p>
        </w:tc>
      </w:tr>
      <w:tr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AI Agent (automatico)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Strutturazione dati in IUP: permessi/prescrizioni/scadenze/stati/correlazioni; monitoraggio continuativo 24/7 avanzamento attività autorizzative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Monitoraggio automatico; HITL: Permitting Engineer riceve alert e gestisce eccezioni; dashboard real-time per tutti i livelli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Data Structuring &amp; Monitoring Engine / IUP</w:t>
            </w:r>
          </w:p>
        </w:tc>
      </w:tr>
      <w:tr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AI Agent + Permitting Engineer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Rilevamento automatico differenze Disegno Esecutivo vs. Disegno Autorizzato in caso di modifiche durante execution; alert impatti su documentazione autorizzata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AI confronta elaborati e segnala gap; HITL: Permitting Engineer valida impatti e decide se avviare variante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Permit Intelligence Agent / SAP / Documentazione tecnica</w:t>
            </w:r>
          </w:p>
        </w:tc>
      </w:tr>
    </w:tbl>
    <w:p>
      <w:pPr/>
    </w:p>
    <w:p>
      <w:pPr/>
      <w:r>
        <w:t>TO-BE Sequence (parte 2) — Predisposizione Pratiche, Supporto Engineering e Gestione PA</w:t>
      </w:r>
    </w:p>
    <w:p>
      <w:pPr/>
    </w:p>
    <w:tbl>
      <w:tblPr>
        <w:tblStyle w:val="Grigliatabella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</w:tcPr>
          <w:p>
            <w:r/>
            <w:r>
              <w:rPr>
                <w:b/>
                <w:sz w:val="18"/>
              </w:rPr>
              <w:t>Step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8"/>
              </w:rPr>
              <w:t>Attore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8"/>
              </w:rPr>
              <w:t>Attività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8"/>
              </w:rPr>
              <w:t>AI + Intervento Umano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8"/>
              </w:rPr>
              <w:t>Sistemi</w:t>
            </w:r>
          </w:p>
        </w:tc>
      </w:tr>
      <w:tr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AI Agent (automatico)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Ricerca automatica format e moduli aggiornati su portali Regione/Comune; recupero regolamenti comunali e riferimenti applicabili per presentazione istanze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AI recupera e aggiorna format automaticamente; HITL: Permitting Engineer seleziona format corretto e valida completezza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Permit Application Support Agent / Portali Regionali/Comunali</w:t>
            </w:r>
          </w:p>
        </w:tc>
      </w:tr>
      <w:tr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AI Agent + Permitting Engineer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Supporto predisposizione istanze E&amp;C (varianti/2° livello): compilazione assistita moduli con adattamento a variabilità territoriale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AI precompila moduli; HITL: Permitting Engineer verifica, firma e invia; responsabilità legale all'operatore umano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Permit Application Support Agent / Portali PA / SAP</w:t>
            </w:r>
          </w:p>
        </w:tc>
      </w:tr>
      <w:tr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AI Agent (automatico)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Rilevamento automatico richieste di integrazione da PA; analisi richiesta; generazione bozza risposta con documenti a supporto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AI propone risposta; HITL: Permitting Engineer valida e invia nei termini; gestione proroga se necessario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NLP Engine / Permit Application Support Agent / Email</w:t>
            </w:r>
          </w:p>
        </w:tc>
      </w:tr>
      <w:tr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AI Agent + Permitting Engineer → Engineering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Traduzione automatica prescrizioni in input strutturati per Engineering (come costruire la documentazione richiesta dall'ente)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AI genera requisiti documentali strutturati; HITL: Permitting Engineer valida correttezza tecnica prima di inviare a Engineering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Engineering Requirements Advisor / SAP / Email</w:t>
            </w:r>
          </w:p>
        </w:tc>
      </w:tr>
      <w:tr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AI Agent (automatico)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Monitoring scadenze con alert proattivi e piano di azione; gestione timeline proroghe; evidenza criticità al PM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Alert automatici; HITL: Permitting Engineer gestisce eccezioni su scadenze critiche; PM informato real-time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Data Structuring &amp; Monitoring Engine / IUP / Workflow Engine</w:t>
            </w:r>
          </w:p>
        </w:tc>
      </w:tr>
    </w:tbl>
    <w:p>
      <w:pPr/>
    </w:p>
    <w:p>
      <w:pPr/>
      <w:r>
        <w:t>TO-BE Sequence (parte 3) — Execution, Knowledge Management e Normativa</w:t>
      </w:r>
    </w:p>
    <w:p>
      <w:pPr/>
    </w:p>
    <w:tbl>
      <w:tblPr>
        <w:tblStyle w:val="Grigliatabella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</w:tcPr>
          <w:p>
            <w:r/>
            <w:r>
              <w:rPr>
                <w:b/>
                <w:sz w:val="18"/>
              </w:rPr>
              <w:t>Step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8"/>
              </w:rPr>
              <w:t>Attore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8"/>
              </w:rPr>
              <w:t>Attività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8"/>
              </w:rPr>
              <w:t>AI + Intervento Umano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8"/>
              </w:rPr>
              <w:t>Sistemi</w:t>
            </w:r>
          </w:p>
        </w:tc>
      </w:tr>
      <w:tr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AI Agent + Permitting Engineer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Gestione permessi 2° livello/varianti in execution: AI analizza titolo di variante e impatti su permessi esistenti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AI identifica permessi impattati dalla variante; HITL: Permitting Engineer valida analisi tecnico-normativa; responsabilità legale all'operatore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Permit Intelligence Agent / SAP / Documentazione tecnica</w:t>
            </w:r>
          </w:p>
        </w:tc>
      </w:tr>
      <w:tr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AI Agent (automatico)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Confronto continuo Disegno Esecutivo vs. Autorizzato durante execution; alert automatici su discrepanze con impatti autorizzativi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Alert automatici; HITL: Permitting Engineer e Engineering valutano impatti e decidono azioni correttive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Permit Intelligence Agent / SAP</w:t>
            </w:r>
          </w:p>
        </w:tc>
      </w:tr>
      <w:tr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AI Agent + Permitting Engineer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Analisi tecnico-normativa permitting 2° livello: verifica requisiti specifici per variante e regione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AI fornisce analisi normativa contestualizzata per regione; HITL: Permitting Engineer valida e finalizza pratica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Normative Knowledge Base / Permit Application Support Agent</w:t>
            </w:r>
          </w:p>
        </w:tc>
      </w:tr>
      <w:tr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AI Agent + Permitting Engineer → BD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Se emerge nuovo permesso: AI prepara scheda strutturata per aggiunta al Permitting Catalogue; workflow di approvazione BD automatizzato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AI prepara scheda nuovo permesso; HITL: Permitting Engineer valida; BD approva tramite workflow nel Permitting Catalogue Management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Permitting Catalogue Manager / Permitting Catalogue Management</w:t>
            </w:r>
          </w:p>
        </w:tc>
      </w:tr>
      <w:tr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AI Agent (automatico)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Aggiornamento Catalogo con permessi ottenuti sui progetti; mantenimento catalogo "vivo" per suggerire lista permessi per nuovi progetti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Aggiornamento automatico da esiti pratiche; HITL: Permitting Engineer valida nuove schede prima pubblicazione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Permitting Catalogue Manager / IUP</w:t>
            </w:r>
          </w:p>
        </w:tc>
      </w:tr>
      <w:tr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AI Agent (automatico)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Creazione e aggiornamento automatico Guide di permessi nel Catalogo basate su storico progetti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AI genera bozza Guide; HITL: Permitting Engineer rivede e approva prima della pubblicazione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Permitting Catalogue Manager</w:t>
            </w:r>
          </w:p>
        </w:tc>
      </w:tr>
      <w:tr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AI Agent (automatico) — OPZIONALE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Monitoraggio continuo panorama normativo: Gazzette Ufficiali, Decreti che impattano progetti WSB-HGT; alert su cambi normativi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Alert automatici; HITL: Legal/Regulatory Advisor valuta impatti; Permitting Engineer informato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Normative Knowledge Base / Web Scraping Gazzette Ufficiali</w:t>
            </w:r>
          </w:p>
        </w:tc>
      </w:tr>
      <w:tr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AI Agent — OPZIONALE (fase Development)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Analisi correlazioni e sequenzialità permessi per derisking: dipendenze logiche tra permessi, anticipi/posticipi basati su storico per evitare ordini logici errati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AI propone mappa correlazioni; HITL: Permitting Engineer valida logica; BD gestisce a monte in Development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Permitting Catalogue Manager / Schedule &amp; Planning Assistant</w:t>
            </w:r>
          </w:p>
        </w:tc>
      </w:tr>
      <w:tr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AI Agent — OPZIONALE (estensione)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Estensione logica a Grid Connection (insieme attività/permessi con sequenzialità) con valenza globale multi-paese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AI adatta modello correlazioni a nuovi contesti; HITL: Permitting Engineer locale valida adattabilità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Normative Knowledge Base / Permitting Catalogue Manager</w:t>
            </w:r>
          </w:p>
        </w:tc>
      </w:tr>
    </w:tbl>
    <w:p>
      <w:pPr>
        <w:pStyle w:val="Titolo2"/>
      </w:pPr>
      <w:r>
        <w:t>Delta AS-IS vs TO-BE</w:t>
      </w:r>
    </w:p>
    <w:p>
      <w:pPr/>
      <w:r>
        <w:t>Situazione Attuale (AS-IS) — Limitazioni:</w:t>
      </w:r>
    </w:p>
    <w:p>
      <w:pPr>
        <w:pStyle w:val="Paragrafoelenco"/>
      </w:pPr>
      <w:r>
        <w:t>Costruzione lista permessi completamente manuale (effort HIGH): analisi titoli con documenti in formati eterogenei, nessun template standard, dipendenza da expertise personale.</w:t>
      </w:r>
    </w:p>
    <w:p>
      <w:pPr>
        <w:pStyle w:val="Paragrafoelenco"/>
      </w:pPr>
      <w:r>
        <w:t>IUP usato "a mano" come repository di monitoraggio; nessuna strutturazione automatica dati permessi/scadenze/stati/correlazioni.</w:t>
      </w:r>
    </w:p>
    <w:p>
      <w:pPr>
        <w:pStyle w:val="Paragrafoelenco"/>
      </w:pPr>
      <w:r>
        <w:t>Stima temporale basata su esperienza personale, non su dati storici strutturati per permesso e regione; pianificazione frequentemente irrealistica.</w:t>
      </w:r>
    </w:p>
    <w:p>
      <w:pPr>
        <w:pStyle w:val="Paragrafoelenco"/>
      </w:pPr>
      <w:r>
        <w:t>Gantt aggiornato e monitorato manualmente; segnalazione criticità reattiva anziché proattiva.</w:t>
      </w:r>
    </w:p>
    <w:p>
      <w:pPr>
        <w:pStyle w:val="Paragrafoelenco"/>
      </w:pPr>
      <w:r>
        <w:t>Ricerca format/moduli PA manuale su portali regionali/comunali eterogenei; nessun supporto per variabilità territoriale.</w:t>
      </w:r>
    </w:p>
    <w:p>
      <w:pPr>
        <w:pStyle w:val="Paragrafoelenco"/>
      </w:pPr>
      <w:r>
        <w:t>Monitoraggio panorama normativo non strutturato; reperimento canale Decreti Ministeriali difficoltoso.</w:t>
      </w:r>
    </w:p>
    <w:p>
      <w:pPr>
        <w:pStyle w:val="Paragrafoelenco"/>
      </w:pPr>
      <w:r>
        <w:t>Gestione differenze Disegno Esecutivo vs. Autorizzato priva di strumenti di confronto automatizzato; rischio omissioni in variante.</w:t>
      </w:r>
    </w:p>
    <w:p>
      <w:pPr>
        <w:pStyle w:val="Paragrafoelenco"/>
      </w:pPr>
      <w:r>
        <w:t>Processo non standardizzato su diverse Regioni/Paesi: adattamento completamente manuale senza supporto sistematico.</w:t>
      </w:r>
    </w:p>
    <w:p>
      <w:pPr/>
      <w:r>
        <w:t>Impatti Operativi TO-BE:</w:t>
      </w:r>
    </w:p>
    <w:p>
      <w:pPr>
        <w:pStyle w:val="Paragrafoelenco"/>
      </w:pPr>
      <w:r>
        <w:t>Riduzione effort costruzione lista permessi (da HIGH a MEDIUM) grazie all'estrazione automatica prescrizioni da titoli multi-formato.</w:t>
      </w:r>
    </w:p>
    <w:p>
      <w:pPr>
        <w:pStyle w:val="Paragrafoelenco"/>
      </w:pPr>
      <w:r>
        <w:t>IUP popolato automaticamente con struttura tabellare completa; monitoraggio 24/7 con alerting proattivo scadenze.</w:t>
      </w:r>
    </w:p>
    <w:p>
      <w:pPr>
        <w:pStyle w:val="Paragrafoelenco"/>
      </w:pPr>
      <w:r>
        <w:t>Stima temporale basata su dati storici per permesso e regione: eliminazione pianificazioni irrealistiche; aumento accuratezza forecast.</w:t>
      </w:r>
    </w:p>
    <w:p>
      <w:pPr>
        <w:pStyle w:val="Paragrafoelenco"/>
      </w:pPr>
      <w:r>
        <w:t>Integrazione automatica lista permessi nel Gantt con predecessori-successori; alert proattivi al PM su criticità temporali.</w:t>
      </w:r>
    </w:p>
    <w:p>
      <w:pPr>
        <w:pStyle w:val="Paragrafoelenco"/>
      </w:pPr>
      <w:r>
        <w:t>Ricerca automatica format/moduli aggiornati su portali regionali/comunali; riduzione drastica tempo di ricerca per predisposizione istanze.</w:t>
      </w:r>
    </w:p>
    <w:p>
      <w:pPr>
        <w:pStyle w:val="Paragrafoelenco"/>
      </w:pPr>
      <w:r>
        <w:t>Monitoraggio normativo automatizzato (Gazzette Ufficiali, Decreti) con alert impatti a portafoglio (attività opzionale).</w:t>
      </w:r>
    </w:p>
    <w:p>
      <w:pPr>
        <w:pStyle w:val="Paragrafoelenco"/>
      </w:pPr>
      <w:r>
        <w:t>Confronto automatico Disegno Esecutivo vs. Autorizzato con alert tempestivi; riduzione rischi omissivi in variante.</w:t>
      </w:r>
    </w:p>
    <w:p>
      <w:pPr>
        <w:pStyle w:val="Paragrafoelenco"/>
      </w:pPr>
      <w:r>
        <w:t>Modello di processo adattabile automaticamente a qualsiasi Paese/Regione grazie alla Normative Knowledge Base multi-geografica.</w:t>
      </w:r>
    </w:p>
    <w:p>
      <w:pPr/>
      <w:r>
        <w:t>Invarianti (non cambia):</w:t>
      </w:r>
    </w:p>
    <w:p>
      <w:pPr>
        <w:pStyle w:val="Paragrafoelenco"/>
      </w:pPr>
      <w:r>
        <w:t>Responsabilità legale del Permitting Engineer per l'invio delle istanze autorizzative — sign-off umano obbligatorio prima di qualsiasi presentazione a PA.</w:t>
      </w:r>
    </w:p>
    <w:p>
      <w:pPr>
        <w:pStyle w:val="Paragrafoelenco"/>
      </w:pPr>
      <w:r>
        <w:t>Approvazione BD per l'inserimento di nuovi permessi nel Permitting Catalogue Management.</w:t>
      </w:r>
    </w:p>
    <w:p>
      <w:pPr>
        <w:pStyle w:val="Paragrafoelenco"/>
      </w:pPr>
      <w:r>
        <w:t>Perimetro: BD rimane owner dei permessi di primo livello; E&amp;C interviene su varianti/"secondo livello".</w:t>
      </w:r>
    </w:p>
    <w:p>
      <w:pPr>
        <w:pStyle w:val="Paragrafoelenco"/>
      </w:pPr>
      <w:r>
        <w:t>Responsabilità del PM per la gestione delle criticità di schedule segnalate da Permitting.</w:t>
      </w:r>
    </w:p>
    <w:p>
      <w:pPr>
        <w:pStyle w:val="Paragrafoelenco"/>
      </w:pPr>
      <w:r>
        <w:t>Quadro normativo di riferimento (nazionale, regionale, locale) — l'AI supporta la conformità ma non sostituisce il giudizio legale/tecnico.</w:t>
      </w:r>
    </w:p>
    <w:p>
      <w:pPr/>
      <w:r>
        <w:t>Nuovi Requisiti Abilitanti:</w:t>
      </w:r>
    </w:p>
    <w:p>
      <w:pPr>
        <w:pStyle w:val="Paragrafoelenco"/>
      </w:pPr>
      <w:r>
        <w:t>Accesso automatizzato ai portali regionali/comunali e siti istituzionali (Gazzette Ufficiali, Ministeri) per aggiornamento normativo e ricerca format.</w:t>
      </w:r>
    </w:p>
    <w:p>
      <w:pPr>
        <w:pStyle w:val="Paragrafoelenco"/>
      </w:pPr>
      <w:r>
        <w:t>Integrazione API con IUP e Permitting Catalogue Management per popolamento e aggiornamento automatico.</w:t>
      </w:r>
    </w:p>
    <w:p>
      <w:pPr>
        <w:pStyle w:val="Paragrafoelenco"/>
      </w:pPr>
      <w:r>
        <w:t>Dataset storico strutturato di permessi per regione per alimentare i modelli di stima temporale.</w:t>
      </w:r>
    </w:p>
    <w:p>
      <w:pPr>
        <w:pStyle w:val="Paragrafoelenco"/>
      </w:pPr>
      <w:r>
        <w:t>API integrazione con tool Gantt di progetto per inserimento e monitoraggio lista permessi.</w:t>
      </w:r>
    </w:p>
    <w:p>
      <w:pPr>
        <w:pStyle w:val="Paragrafoelenco"/>
      </w:pPr>
      <w:r>
        <w:t>Capacità di gestire documenti tecnici di ingegneria (elaborati tecnici, PDF tecnici) per confronto Esecutivo vs. Autorizzato.</w:t>
      </w:r>
    </w:p>
    <w:p>
      <w:pPr>
        <w:pStyle w:val="Paragrafoelenco"/>
      </w:pPr>
      <w:r>
        <w:t>Framework di adattabilità multi-paese/regione per espandere il modello a contesti geografici diversi.</w:t>
      </w:r>
    </w:p>
    <w:p>
      <w:pPr/>
      <w:r>
        <w:t>Situazione Obiettivo (TO-BE) — Benefici:</w:t>
      </w:r>
    </w:p>
    <w:p>
      <w:pPr>
        <w:pStyle w:val="Paragrafoelenco"/>
      </w:pPr>
      <w:r>
        <w:t>Portafoglio autorizzativo strutturato e monitorato in real-time con visibilità completa per tutti i livelli (operativo, manageriale).</w:t>
      </w:r>
    </w:p>
    <w:p>
      <w:pPr>
        <w:pStyle w:val="Paragrafoelenco"/>
      </w:pPr>
      <w:r>
        <w:t>Riduzione effort costruzione lista permessi da HIGH a MEDIUM grazie all'automazione dell'analisi titoli.</w:t>
      </w:r>
    </w:p>
    <w:p>
      <w:pPr>
        <w:pStyle w:val="Paragrafoelenco"/>
      </w:pPr>
      <w:r>
        <w:t>Stima temporale affidabile per permesso e regione: pianificazione realistica integrata nel Gantt di progetto.</w:t>
      </w:r>
    </w:p>
    <w:p>
      <w:pPr>
        <w:pStyle w:val="Paragrafoelenco"/>
      </w:pPr>
      <w:r>
        <w:t>Eliminazione dipendenza da expertise personale: knowledge base strutturata nel Catalogo Permessi disponibile per l'intero team.</w:t>
      </w:r>
    </w:p>
    <w:p>
      <w:pPr>
        <w:pStyle w:val="Paragrafoelenco"/>
      </w:pPr>
      <w:r>
        <w:t>Scalabilità del processo a qualsiasi contesto geografico (paese, regione, realtà locale) senza intervento manuale di ricerca normativa.</w:t>
      </w:r>
    </w:p>
    <w:p>
      <w:pPr>
        <w:pStyle w:val="Paragrafoelenco"/>
      </w:pPr>
      <w:r>
        <w:t>Alert normativi automatici per cambi di legge impattanti il portafoglio progetti (attività opzionale).</w:t>
      </w:r>
    </w:p>
    <w:p>
      <w:pPr>
        <w:pStyle w:val="Paragrafoelenco"/>
      </w:pPr>
      <w:r>
        <w:t>Riduzione rischi legati a differenze Esecutivo/Autorizzato grazie al confronto automatizzato in tempo reale.</w:t>
      </w:r>
    </w:p>
    <w:p>
      <w:pPr>
        <w:pStyle w:val="Titolo2"/>
      </w:pPr>
      <w:r>
        <w:t>6. KPI</w:t>
      </w:r>
    </w:p>
    <w:p>
      <w:pPr/>
      <w:r>
        <w:t>KPI Quantitativi</w:t>
      </w:r>
    </w:p>
    <w:p>
      <w:pPr/>
    </w:p>
    <w:tbl>
      <w:tblPr>
        <w:tblStyle w:val="Grigliatabella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/>
            <w:r>
              <w:rPr>
                <w:b/>
                <w:sz w:val="18"/>
              </w:rPr>
              <w:t>KPI</w:t>
            </w:r>
          </w:p>
        </w:tc>
        <w:tc>
          <w:tcPr>
            <w:tcW w:type="dxa" w:w="2409"/>
          </w:tcPr>
          <w:p>
            <w:r/>
            <w:r>
              <w:rPr>
                <w:b/>
                <w:sz w:val="18"/>
              </w:rPr>
              <w:t>Baseline AS-IS</w:t>
            </w:r>
          </w:p>
        </w:tc>
        <w:tc>
          <w:tcPr>
            <w:tcW w:type="dxa" w:w="2409"/>
          </w:tcPr>
          <w:p>
            <w:r/>
            <w:r>
              <w:rPr>
                <w:b/>
                <w:sz w:val="18"/>
              </w:rPr>
              <w:t>Target TO-BE</w:t>
            </w:r>
          </w:p>
        </w:tc>
        <w:tc>
          <w:tcPr>
            <w:tcW w:type="dxa" w:w="2409"/>
          </w:tcPr>
          <w:p>
            <w:r/>
            <w:r>
              <w:rPr>
                <w:b/>
                <w:sz w:val="18"/>
              </w:rPr>
              <w:t>% Miglioramento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Effort costruzione lista permessi end-to-end (per pratica)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HIGH — 3-5 giorni/pratica, completamente manuale, senza dati storici strutturati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MEDIUM — 1-2 giorni/pratica con AI Support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-50% effort operativo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Accuratezza stima temporale permessi (% pratiche con scostamento ≤20% vs. reale)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~50% (basata su esperienza personale; nessun dato storico strutturato per permesso+regione)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&gt;80% (dati storici strutturati per permesso e regione specifica)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+30 p.p. accuratezza previsionale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Tasso scadenze procedurali mancate (% pratiche con almeno una scadenza superata senza alert)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Elevato (monitoraggio manuale frammentato, nessun alerting proattivo)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&lt;5% (monitoraggio 24/7 con alert proattivi e piano di azione automatico)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&gt;80% riduzione missed deadlines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Tempo ricerca format/moduli per predisposizione istanze PA (ore/pratica)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Elevato — ricerca manuale su portali eterogenei per regione (~4-8 ore/pratica)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&lt;1 ora/pratica (ricerca automatizzata e aggiornata)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-80% tempo di ricerca</w:t>
            </w:r>
          </w:p>
        </w:tc>
      </w:tr>
    </w:tbl>
    <w:p>
      <w:pPr/>
    </w:p>
    <w:p>
      <w:pPr/>
      <w:r>
        <w:t>KPI Qualitativi</w:t>
      </w:r>
    </w:p>
    <w:p>
      <w:pPr/>
    </w:p>
    <w:tbl>
      <w:tblPr>
        <w:tblStyle w:val="Grigliatabella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b/>
                <w:sz w:val="18"/>
              </w:rPr>
              <w:t>KPI</w:t>
            </w:r>
          </w:p>
        </w:tc>
        <w:tc>
          <w:tcPr>
            <w:tcW w:type="dxa" w:w="3213"/>
          </w:tcPr>
          <w:p>
            <w:r/>
            <w:r>
              <w:rPr>
                <w:b/>
                <w:sz w:val="18"/>
              </w:rPr>
              <w:t>Target</w:t>
            </w:r>
          </w:p>
        </w:tc>
        <w:tc>
          <w:tcPr>
            <w:tcW w:type="dxa" w:w="3213"/>
          </w:tcPr>
          <w:p>
            <w:r/>
            <w:r>
              <w:rPr>
                <w:b/>
                <w:sz w:val="18"/>
              </w:rPr>
              <w:t>Metodo di Misurazione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Adattabilità multi-paese/regione del processo AI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AI correttamente adattato a ≥3 contesti geografici distinti nei primi 12 mesi; zero errori di processo per mancato adattamento normativo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Audit periodico su processi attivati in nuovi contesti; test adattamento su casi reali per paese/regione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Completezza e aggiornamento Catalogo Permessi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Catalogo aggiornato entro 30 giorni dal completamento di ogni progetto; copertura &gt;90% dei permessi effettivamente richiesti vs. lista AI-generata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Delta tra lista AI-generata e permessi realmente richiesti; monitoraggio ritardo aggiornamento catalogo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Qualità gestione Esecutivo vs. Autorizzato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Zero non conformità documentali non rilevate in fase di variante; 100% gap Esecutivo/Autorizzato segnalati prima dell'invio istanza di variante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Audit su pratiche di variante chiuse; gap rilevati da AI vs. trovati manualmente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Soddisfazione Permitting Engineer (CSAT)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Score &gt;4/5 su usabilità AI Agent e riduzione carico manuale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Survey trimestrale utenti; sessioni feedback qualitativo ogni 6 mesi</w:t>
            </w:r>
          </w:p>
        </w:tc>
      </w:tr>
    </w:tbl>
    <w:sectPr w:rsidR="00ED0391">
      <w:headerReference w:type="even" r:id="rId11"/>
      <w:headerReference w:type="default" r:id="rId12"/>
      <w:headerReference w:type="first" r:id="rId13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9206C3" w14:textId="77777777" w:rsidR="003C64CD" w:rsidRDefault="003C64CD" w:rsidP="00A25B22">
      <w:pPr>
        <w:spacing w:before="0" w:after="0" w:line="240" w:lineRule="auto"/>
      </w:pPr>
      <w:r>
        <w:separator/>
      </w:r>
    </w:p>
  </w:endnote>
  <w:endnote w:type="continuationSeparator" w:id="0">
    <w:p w14:paraId="6CFF9E19" w14:textId="77777777" w:rsidR="003C64CD" w:rsidRDefault="003C64CD" w:rsidP="00A25B22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383A7A" w14:textId="77777777" w:rsidR="003C64CD" w:rsidRDefault="003C64CD" w:rsidP="00A25B22">
      <w:pPr>
        <w:spacing w:before="0" w:after="0" w:line="240" w:lineRule="auto"/>
      </w:pPr>
      <w:r>
        <w:separator/>
      </w:r>
    </w:p>
  </w:footnote>
  <w:footnote w:type="continuationSeparator" w:id="0">
    <w:p w14:paraId="226BC5D2" w14:textId="77777777" w:rsidR="003C64CD" w:rsidRDefault="003C64CD" w:rsidP="00A25B22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71D2A4" w14:textId="77777777" w:rsidR="00A25B22" w:rsidRDefault="00A25B22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F85050" w14:textId="77777777" w:rsidR="00A25B22" w:rsidRDefault="00A25B22">
    <w:pPr>
      <w:pStyle w:val="Intestazion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4A8EB7" w14:textId="77777777" w:rsidR="00A25B22" w:rsidRDefault="00A25B22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04373"/>
    <w:multiLevelType w:val="multilevel"/>
    <w:tmpl w:val="B008B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726E8A"/>
    <w:multiLevelType w:val="multilevel"/>
    <w:tmpl w:val="0410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A1B525E"/>
    <w:multiLevelType w:val="multilevel"/>
    <w:tmpl w:val="0410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C985971"/>
    <w:multiLevelType w:val="multilevel"/>
    <w:tmpl w:val="0410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1D8815C4"/>
    <w:multiLevelType w:val="hybridMultilevel"/>
    <w:tmpl w:val="57D01FD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6AC43FC"/>
    <w:multiLevelType w:val="multilevel"/>
    <w:tmpl w:val="0410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3BED2234"/>
    <w:multiLevelType w:val="hybridMultilevel"/>
    <w:tmpl w:val="9F6A335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CC0591E"/>
    <w:multiLevelType w:val="multilevel"/>
    <w:tmpl w:val="0410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45300574"/>
    <w:multiLevelType w:val="hybridMultilevel"/>
    <w:tmpl w:val="787A4416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6242258"/>
    <w:multiLevelType w:val="hybridMultilevel"/>
    <w:tmpl w:val="6FF68D3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73B54D2"/>
    <w:multiLevelType w:val="hybridMultilevel"/>
    <w:tmpl w:val="670EFB8A"/>
    <w:lvl w:ilvl="0" w:tplc="0410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4F16AEC"/>
    <w:multiLevelType w:val="hybridMultilevel"/>
    <w:tmpl w:val="4776D9A2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C847512"/>
    <w:multiLevelType w:val="hybridMultilevel"/>
    <w:tmpl w:val="0CF42E2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05A0F7E"/>
    <w:multiLevelType w:val="hybridMultilevel"/>
    <w:tmpl w:val="012C6E6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02851188">
    <w:abstractNumId w:val="8"/>
  </w:num>
  <w:num w:numId="2" w16cid:durableId="1815104070">
    <w:abstractNumId w:val="0"/>
  </w:num>
  <w:num w:numId="3" w16cid:durableId="1117062073">
    <w:abstractNumId w:val="13"/>
  </w:num>
  <w:num w:numId="4" w16cid:durableId="1271930229">
    <w:abstractNumId w:val="9"/>
  </w:num>
  <w:num w:numId="5" w16cid:durableId="640354219">
    <w:abstractNumId w:val="12"/>
  </w:num>
  <w:num w:numId="6" w16cid:durableId="1864242074">
    <w:abstractNumId w:val="4"/>
  </w:num>
  <w:num w:numId="7" w16cid:durableId="1039431412">
    <w:abstractNumId w:val="6"/>
  </w:num>
  <w:num w:numId="8" w16cid:durableId="1592467952">
    <w:abstractNumId w:val="10"/>
  </w:num>
  <w:num w:numId="9" w16cid:durableId="1827747294">
    <w:abstractNumId w:val="11"/>
  </w:num>
  <w:num w:numId="10" w16cid:durableId="1345016878">
    <w:abstractNumId w:val="7"/>
  </w:num>
  <w:num w:numId="11" w16cid:durableId="426392956">
    <w:abstractNumId w:val="3"/>
  </w:num>
  <w:num w:numId="12" w16cid:durableId="1902255002">
    <w:abstractNumId w:val="1"/>
  </w:num>
  <w:num w:numId="13" w16cid:durableId="1774933049">
    <w:abstractNumId w:val="5"/>
  </w:num>
  <w:num w:numId="14" w16cid:durableId="541752478">
    <w:abstractNumId w:val="2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5B22"/>
    <w:rsid w:val="00003494"/>
    <w:rsid w:val="00003825"/>
    <w:rsid w:val="00015F90"/>
    <w:rsid w:val="00016B51"/>
    <w:rsid w:val="000257F1"/>
    <w:rsid w:val="00030B16"/>
    <w:rsid w:val="00036E58"/>
    <w:rsid w:val="00040BBC"/>
    <w:rsid w:val="0004379A"/>
    <w:rsid w:val="00043A8D"/>
    <w:rsid w:val="00056613"/>
    <w:rsid w:val="00065157"/>
    <w:rsid w:val="00075C38"/>
    <w:rsid w:val="0008154F"/>
    <w:rsid w:val="000817FF"/>
    <w:rsid w:val="000A1C9D"/>
    <w:rsid w:val="000C0995"/>
    <w:rsid w:val="000C29A1"/>
    <w:rsid w:val="000D1FC5"/>
    <w:rsid w:val="000E3177"/>
    <w:rsid w:val="000E35B2"/>
    <w:rsid w:val="000E3FC5"/>
    <w:rsid w:val="000E458C"/>
    <w:rsid w:val="000F0427"/>
    <w:rsid w:val="000F5152"/>
    <w:rsid w:val="00115F09"/>
    <w:rsid w:val="001278C3"/>
    <w:rsid w:val="001278D5"/>
    <w:rsid w:val="00133337"/>
    <w:rsid w:val="001468B3"/>
    <w:rsid w:val="00155662"/>
    <w:rsid w:val="0017119E"/>
    <w:rsid w:val="00174822"/>
    <w:rsid w:val="001826D5"/>
    <w:rsid w:val="00186973"/>
    <w:rsid w:val="00195236"/>
    <w:rsid w:val="001A186C"/>
    <w:rsid w:val="001A44B1"/>
    <w:rsid w:val="001B31B2"/>
    <w:rsid w:val="001C3255"/>
    <w:rsid w:val="001C603D"/>
    <w:rsid w:val="001D1F54"/>
    <w:rsid w:val="001D59B7"/>
    <w:rsid w:val="001D6490"/>
    <w:rsid w:val="001E271E"/>
    <w:rsid w:val="001E3864"/>
    <w:rsid w:val="001F0E9D"/>
    <w:rsid w:val="001F5B12"/>
    <w:rsid w:val="00202605"/>
    <w:rsid w:val="00207A11"/>
    <w:rsid w:val="00212CA5"/>
    <w:rsid w:val="002178F1"/>
    <w:rsid w:val="00220A62"/>
    <w:rsid w:val="00227445"/>
    <w:rsid w:val="0023311B"/>
    <w:rsid w:val="0025024B"/>
    <w:rsid w:val="00250F19"/>
    <w:rsid w:val="00252A33"/>
    <w:rsid w:val="002728C0"/>
    <w:rsid w:val="00272EE9"/>
    <w:rsid w:val="00274BAF"/>
    <w:rsid w:val="00277D89"/>
    <w:rsid w:val="002807F6"/>
    <w:rsid w:val="00280A03"/>
    <w:rsid w:val="00284C10"/>
    <w:rsid w:val="002866F6"/>
    <w:rsid w:val="00292CA2"/>
    <w:rsid w:val="0029383C"/>
    <w:rsid w:val="00294048"/>
    <w:rsid w:val="002A0F46"/>
    <w:rsid w:val="002A1DB8"/>
    <w:rsid w:val="002A6200"/>
    <w:rsid w:val="002B2B2A"/>
    <w:rsid w:val="002B35B0"/>
    <w:rsid w:val="002C3E77"/>
    <w:rsid w:val="002C558D"/>
    <w:rsid w:val="002D3BBA"/>
    <w:rsid w:val="002D63F6"/>
    <w:rsid w:val="002E1AE8"/>
    <w:rsid w:val="002E2CA9"/>
    <w:rsid w:val="002F1399"/>
    <w:rsid w:val="00307C89"/>
    <w:rsid w:val="003105C5"/>
    <w:rsid w:val="003113C4"/>
    <w:rsid w:val="0031421B"/>
    <w:rsid w:val="003202FE"/>
    <w:rsid w:val="00321E1C"/>
    <w:rsid w:val="00322155"/>
    <w:rsid w:val="0034593F"/>
    <w:rsid w:val="00351AE3"/>
    <w:rsid w:val="00357D20"/>
    <w:rsid w:val="00383FB3"/>
    <w:rsid w:val="00385781"/>
    <w:rsid w:val="00385B31"/>
    <w:rsid w:val="00387083"/>
    <w:rsid w:val="003906DB"/>
    <w:rsid w:val="003A0DB0"/>
    <w:rsid w:val="003B12CA"/>
    <w:rsid w:val="003C64CD"/>
    <w:rsid w:val="003D5D1D"/>
    <w:rsid w:val="003D6391"/>
    <w:rsid w:val="003E276D"/>
    <w:rsid w:val="003E4CEE"/>
    <w:rsid w:val="003F129E"/>
    <w:rsid w:val="00401035"/>
    <w:rsid w:val="004024D1"/>
    <w:rsid w:val="00402677"/>
    <w:rsid w:val="00405640"/>
    <w:rsid w:val="004251F8"/>
    <w:rsid w:val="00432221"/>
    <w:rsid w:val="00435141"/>
    <w:rsid w:val="004357A6"/>
    <w:rsid w:val="00447D1C"/>
    <w:rsid w:val="00451A27"/>
    <w:rsid w:val="00461933"/>
    <w:rsid w:val="00461F23"/>
    <w:rsid w:val="0046326E"/>
    <w:rsid w:val="00477AEA"/>
    <w:rsid w:val="00480395"/>
    <w:rsid w:val="004879F0"/>
    <w:rsid w:val="004B4264"/>
    <w:rsid w:val="004B65AF"/>
    <w:rsid w:val="004B6AE4"/>
    <w:rsid w:val="004D4B03"/>
    <w:rsid w:val="004D532D"/>
    <w:rsid w:val="004D54F0"/>
    <w:rsid w:val="004D7E9E"/>
    <w:rsid w:val="004E38DD"/>
    <w:rsid w:val="004F075A"/>
    <w:rsid w:val="0050214D"/>
    <w:rsid w:val="005424C6"/>
    <w:rsid w:val="005652C2"/>
    <w:rsid w:val="00576E8D"/>
    <w:rsid w:val="005836EB"/>
    <w:rsid w:val="00583FB8"/>
    <w:rsid w:val="0058676E"/>
    <w:rsid w:val="00587055"/>
    <w:rsid w:val="00596A18"/>
    <w:rsid w:val="005A690F"/>
    <w:rsid w:val="005A746C"/>
    <w:rsid w:val="005B07CB"/>
    <w:rsid w:val="005C5749"/>
    <w:rsid w:val="005E7958"/>
    <w:rsid w:val="005F1D0C"/>
    <w:rsid w:val="005F3988"/>
    <w:rsid w:val="00600B0D"/>
    <w:rsid w:val="00601748"/>
    <w:rsid w:val="00601D7D"/>
    <w:rsid w:val="00602CC0"/>
    <w:rsid w:val="00607122"/>
    <w:rsid w:val="00611E7E"/>
    <w:rsid w:val="0061577D"/>
    <w:rsid w:val="00616168"/>
    <w:rsid w:val="006227C0"/>
    <w:rsid w:val="00640D06"/>
    <w:rsid w:val="00651193"/>
    <w:rsid w:val="00651C8F"/>
    <w:rsid w:val="0065560D"/>
    <w:rsid w:val="0067772D"/>
    <w:rsid w:val="0068253D"/>
    <w:rsid w:val="00697E77"/>
    <w:rsid w:val="006A15F4"/>
    <w:rsid w:val="006B69D3"/>
    <w:rsid w:val="006C587C"/>
    <w:rsid w:val="006C7300"/>
    <w:rsid w:val="006C7DAE"/>
    <w:rsid w:val="006D44B2"/>
    <w:rsid w:val="006D5E39"/>
    <w:rsid w:val="006E2E4E"/>
    <w:rsid w:val="006F35C3"/>
    <w:rsid w:val="006F561D"/>
    <w:rsid w:val="00702F38"/>
    <w:rsid w:val="00706305"/>
    <w:rsid w:val="0070700D"/>
    <w:rsid w:val="00712FDC"/>
    <w:rsid w:val="00731469"/>
    <w:rsid w:val="007336BF"/>
    <w:rsid w:val="00742735"/>
    <w:rsid w:val="00747B1F"/>
    <w:rsid w:val="00772024"/>
    <w:rsid w:val="00783FF3"/>
    <w:rsid w:val="007A5C53"/>
    <w:rsid w:val="007A7B17"/>
    <w:rsid w:val="007B7FBA"/>
    <w:rsid w:val="007C337C"/>
    <w:rsid w:val="007C34E1"/>
    <w:rsid w:val="007C753D"/>
    <w:rsid w:val="007D7E6E"/>
    <w:rsid w:val="007E3175"/>
    <w:rsid w:val="007E3235"/>
    <w:rsid w:val="00801C49"/>
    <w:rsid w:val="00806315"/>
    <w:rsid w:val="008214A5"/>
    <w:rsid w:val="00826E8C"/>
    <w:rsid w:val="008272D9"/>
    <w:rsid w:val="00833865"/>
    <w:rsid w:val="00835969"/>
    <w:rsid w:val="008373E0"/>
    <w:rsid w:val="008402E8"/>
    <w:rsid w:val="00852F51"/>
    <w:rsid w:val="008640B6"/>
    <w:rsid w:val="008674C8"/>
    <w:rsid w:val="008725FE"/>
    <w:rsid w:val="008733B2"/>
    <w:rsid w:val="008829BB"/>
    <w:rsid w:val="00893E41"/>
    <w:rsid w:val="00895D31"/>
    <w:rsid w:val="00897950"/>
    <w:rsid w:val="008A76CE"/>
    <w:rsid w:val="008B1E3E"/>
    <w:rsid w:val="008B4F14"/>
    <w:rsid w:val="008B7DA8"/>
    <w:rsid w:val="008C0B6A"/>
    <w:rsid w:val="008C2031"/>
    <w:rsid w:val="008C2142"/>
    <w:rsid w:val="008C3CD9"/>
    <w:rsid w:val="008E270C"/>
    <w:rsid w:val="008F18AC"/>
    <w:rsid w:val="008F1ACD"/>
    <w:rsid w:val="008F5180"/>
    <w:rsid w:val="008F65BE"/>
    <w:rsid w:val="009112C1"/>
    <w:rsid w:val="00912367"/>
    <w:rsid w:val="0091675C"/>
    <w:rsid w:val="00933806"/>
    <w:rsid w:val="00940A71"/>
    <w:rsid w:val="009472F9"/>
    <w:rsid w:val="00947375"/>
    <w:rsid w:val="0095193B"/>
    <w:rsid w:val="009536D4"/>
    <w:rsid w:val="00957E6B"/>
    <w:rsid w:val="00962C32"/>
    <w:rsid w:val="00965776"/>
    <w:rsid w:val="00965A33"/>
    <w:rsid w:val="00967530"/>
    <w:rsid w:val="00977407"/>
    <w:rsid w:val="00983DB6"/>
    <w:rsid w:val="009922AC"/>
    <w:rsid w:val="009935A4"/>
    <w:rsid w:val="009B2610"/>
    <w:rsid w:val="009B718D"/>
    <w:rsid w:val="009D7ADF"/>
    <w:rsid w:val="009E63F0"/>
    <w:rsid w:val="00A01BE1"/>
    <w:rsid w:val="00A07CF6"/>
    <w:rsid w:val="00A111CD"/>
    <w:rsid w:val="00A127F8"/>
    <w:rsid w:val="00A13CFF"/>
    <w:rsid w:val="00A25B22"/>
    <w:rsid w:val="00A263F7"/>
    <w:rsid w:val="00A449BB"/>
    <w:rsid w:val="00A650E3"/>
    <w:rsid w:val="00A73BBD"/>
    <w:rsid w:val="00A81C6A"/>
    <w:rsid w:val="00A84CA5"/>
    <w:rsid w:val="00A86950"/>
    <w:rsid w:val="00A92E77"/>
    <w:rsid w:val="00AA2A6B"/>
    <w:rsid w:val="00AB34FB"/>
    <w:rsid w:val="00AC07E4"/>
    <w:rsid w:val="00AC1D8C"/>
    <w:rsid w:val="00AC2A46"/>
    <w:rsid w:val="00AC4897"/>
    <w:rsid w:val="00AD36DF"/>
    <w:rsid w:val="00AD5DDB"/>
    <w:rsid w:val="00AE3571"/>
    <w:rsid w:val="00AE4A28"/>
    <w:rsid w:val="00AE4C2E"/>
    <w:rsid w:val="00AF01AB"/>
    <w:rsid w:val="00AF25EB"/>
    <w:rsid w:val="00AF586E"/>
    <w:rsid w:val="00B13C3E"/>
    <w:rsid w:val="00B26517"/>
    <w:rsid w:val="00B31E80"/>
    <w:rsid w:val="00B37CFE"/>
    <w:rsid w:val="00B5012C"/>
    <w:rsid w:val="00B54B2F"/>
    <w:rsid w:val="00B570CB"/>
    <w:rsid w:val="00B57DDD"/>
    <w:rsid w:val="00B60441"/>
    <w:rsid w:val="00B66887"/>
    <w:rsid w:val="00B73C08"/>
    <w:rsid w:val="00B772C7"/>
    <w:rsid w:val="00B77909"/>
    <w:rsid w:val="00B84B9B"/>
    <w:rsid w:val="00B9515D"/>
    <w:rsid w:val="00BB0868"/>
    <w:rsid w:val="00BC630A"/>
    <w:rsid w:val="00BD1F32"/>
    <w:rsid w:val="00BD51EE"/>
    <w:rsid w:val="00BE7714"/>
    <w:rsid w:val="00BF182E"/>
    <w:rsid w:val="00BF5157"/>
    <w:rsid w:val="00C052DC"/>
    <w:rsid w:val="00C06C0D"/>
    <w:rsid w:val="00C101A1"/>
    <w:rsid w:val="00C11F00"/>
    <w:rsid w:val="00C20B68"/>
    <w:rsid w:val="00C315C9"/>
    <w:rsid w:val="00C32281"/>
    <w:rsid w:val="00C32B6B"/>
    <w:rsid w:val="00C337EC"/>
    <w:rsid w:val="00C36DFF"/>
    <w:rsid w:val="00C37627"/>
    <w:rsid w:val="00C5345F"/>
    <w:rsid w:val="00C62282"/>
    <w:rsid w:val="00C635A2"/>
    <w:rsid w:val="00C6480E"/>
    <w:rsid w:val="00C71171"/>
    <w:rsid w:val="00C714FD"/>
    <w:rsid w:val="00C72736"/>
    <w:rsid w:val="00C777CD"/>
    <w:rsid w:val="00C815D8"/>
    <w:rsid w:val="00C86A49"/>
    <w:rsid w:val="00C86E6D"/>
    <w:rsid w:val="00C91626"/>
    <w:rsid w:val="00C93C6A"/>
    <w:rsid w:val="00C97157"/>
    <w:rsid w:val="00CB2D9B"/>
    <w:rsid w:val="00CB6703"/>
    <w:rsid w:val="00CB6BAE"/>
    <w:rsid w:val="00CB6F59"/>
    <w:rsid w:val="00CC4F7C"/>
    <w:rsid w:val="00CD5622"/>
    <w:rsid w:val="00CE09E2"/>
    <w:rsid w:val="00CE7F16"/>
    <w:rsid w:val="00CF694E"/>
    <w:rsid w:val="00D01CB4"/>
    <w:rsid w:val="00D16BD3"/>
    <w:rsid w:val="00D507CE"/>
    <w:rsid w:val="00D528E1"/>
    <w:rsid w:val="00D5670B"/>
    <w:rsid w:val="00D65AFA"/>
    <w:rsid w:val="00D704AF"/>
    <w:rsid w:val="00D73589"/>
    <w:rsid w:val="00D74A48"/>
    <w:rsid w:val="00D74CA5"/>
    <w:rsid w:val="00D75400"/>
    <w:rsid w:val="00D8182E"/>
    <w:rsid w:val="00D87938"/>
    <w:rsid w:val="00D92DFD"/>
    <w:rsid w:val="00D958DC"/>
    <w:rsid w:val="00DA535C"/>
    <w:rsid w:val="00DA6977"/>
    <w:rsid w:val="00DE036F"/>
    <w:rsid w:val="00DE2E5D"/>
    <w:rsid w:val="00DE58E9"/>
    <w:rsid w:val="00DE664B"/>
    <w:rsid w:val="00DF1682"/>
    <w:rsid w:val="00DF4C93"/>
    <w:rsid w:val="00DF5DDF"/>
    <w:rsid w:val="00DF675D"/>
    <w:rsid w:val="00E15404"/>
    <w:rsid w:val="00E2214C"/>
    <w:rsid w:val="00E265E7"/>
    <w:rsid w:val="00E3305D"/>
    <w:rsid w:val="00E3446D"/>
    <w:rsid w:val="00E41511"/>
    <w:rsid w:val="00E461E6"/>
    <w:rsid w:val="00E51266"/>
    <w:rsid w:val="00E60BAB"/>
    <w:rsid w:val="00E61739"/>
    <w:rsid w:val="00E644F6"/>
    <w:rsid w:val="00E66511"/>
    <w:rsid w:val="00E702FF"/>
    <w:rsid w:val="00E70B5C"/>
    <w:rsid w:val="00E72C34"/>
    <w:rsid w:val="00E74938"/>
    <w:rsid w:val="00E92F51"/>
    <w:rsid w:val="00E96601"/>
    <w:rsid w:val="00EB4311"/>
    <w:rsid w:val="00EC02C2"/>
    <w:rsid w:val="00EC1445"/>
    <w:rsid w:val="00EC535C"/>
    <w:rsid w:val="00ED0391"/>
    <w:rsid w:val="00EE1991"/>
    <w:rsid w:val="00EE7ED0"/>
    <w:rsid w:val="00EF521A"/>
    <w:rsid w:val="00EF6BF5"/>
    <w:rsid w:val="00F0219F"/>
    <w:rsid w:val="00F0645E"/>
    <w:rsid w:val="00F15817"/>
    <w:rsid w:val="00F22CEB"/>
    <w:rsid w:val="00F336D5"/>
    <w:rsid w:val="00F35692"/>
    <w:rsid w:val="00F40701"/>
    <w:rsid w:val="00F50795"/>
    <w:rsid w:val="00F67557"/>
    <w:rsid w:val="00F72339"/>
    <w:rsid w:val="00F73F83"/>
    <w:rsid w:val="00F80D8D"/>
    <w:rsid w:val="00F82C53"/>
    <w:rsid w:val="00F87373"/>
    <w:rsid w:val="00F93CFB"/>
    <w:rsid w:val="00F95B18"/>
    <w:rsid w:val="00FA478C"/>
    <w:rsid w:val="00FB0F15"/>
    <w:rsid w:val="00FC1029"/>
    <w:rsid w:val="00FC26EA"/>
    <w:rsid w:val="00FC3509"/>
    <w:rsid w:val="00FC6BAE"/>
    <w:rsid w:val="00FD0719"/>
    <w:rsid w:val="00FE47BC"/>
    <w:rsid w:val="184F17D1"/>
    <w:rsid w:val="603FF0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614AF9"/>
  <w15:chartTrackingRefBased/>
  <w15:docId w15:val="{E7081A0E-12D5-4C78-A6A9-45DAEAD8EA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it-IT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D0719"/>
  </w:style>
  <w:style w:type="paragraph" w:styleId="Titolo1">
    <w:name w:val="heading 1"/>
    <w:basedOn w:val="Normale"/>
    <w:next w:val="Normale"/>
    <w:link w:val="Titolo1Carattere"/>
    <w:uiPriority w:val="9"/>
    <w:qFormat/>
    <w:rsid w:val="00FD0719"/>
    <w:pPr>
      <w:pBdr>
        <w:top w:val="single" w:sz="24" w:space="0" w:color="156082" w:themeColor="accent1"/>
        <w:left w:val="single" w:sz="24" w:space="0" w:color="156082" w:themeColor="accent1"/>
        <w:bottom w:val="single" w:sz="24" w:space="0" w:color="156082" w:themeColor="accent1"/>
        <w:right w:val="single" w:sz="24" w:space="0" w:color="156082" w:themeColor="accent1"/>
      </w:pBdr>
      <w:shd w:val="clear" w:color="auto" w:fill="156082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FD0719"/>
    <w:pPr>
      <w:pBdr>
        <w:top w:val="single" w:sz="24" w:space="0" w:color="C1E4F5" w:themeColor="accent1" w:themeTint="33"/>
        <w:left w:val="single" w:sz="24" w:space="0" w:color="C1E4F5" w:themeColor="accent1" w:themeTint="33"/>
        <w:bottom w:val="single" w:sz="24" w:space="0" w:color="C1E4F5" w:themeColor="accent1" w:themeTint="33"/>
        <w:right w:val="single" w:sz="24" w:space="0" w:color="C1E4F5" w:themeColor="accent1" w:themeTint="33"/>
      </w:pBdr>
      <w:shd w:val="clear" w:color="auto" w:fill="C1E4F5" w:themeFill="accent1" w:themeFillTint="33"/>
      <w:spacing w:after="0"/>
      <w:outlineLvl w:val="1"/>
    </w:pPr>
    <w:rPr>
      <w:caps/>
      <w:spacing w:val="15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D0719"/>
    <w:pPr>
      <w:pBdr>
        <w:top w:val="single" w:sz="6" w:space="2" w:color="156082" w:themeColor="accent1"/>
      </w:pBdr>
      <w:spacing w:before="300" w:after="0"/>
      <w:outlineLvl w:val="2"/>
    </w:pPr>
    <w:rPr>
      <w:caps/>
      <w:color w:val="0A2F40" w:themeColor="accent1" w:themeShade="7F"/>
      <w:spacing w:val="15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D0719"/>
    <w:pPr>
      <w:pBdr>
        <w:top w:val="dotted" w:sz="6" w:space="2" w:color="156082" w:themeColor="accent1"/>
      </w:pBdr>
      <w:spacing w:before="200" w:after="0"/>
      <w:outlineLvl w:val="3"/>
    </w:pPr>
    <w:rPr>
      <w:caps/>
      <w:color w:val="0F4761" w:themeColor="accent1" w:themeShade="BF"/>
      <w:spacing w:val="10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D0719"/>
    <w:pPr>
      <w:pBdr>
        <w:bottom w:val="single" w:sz="6" w:space="1" w:color="156082" w:themeColor="accent1"/>
      </w:pBdr>
      <w:spacing w:before="200" w:after="0"/>
      <w:outlineLvl w:val="4"/>
    </w:pPr>
    <w:rPr>
      <w:caps/>
      <w:color w:val="0F4761" w:themeColor="accent1" w:themeShade="BF"/>
      <w:spacing w:val="10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D0719"/>
    <w:pPr>
      <w:pBdr>
        <w:bottom w:val="dotted" w:sz="6" w:space="1" w:color="156082" w:themeColor="accent1"/>
      </w:pBdr>
      <w:spacing w:before="200" w:after="0"/>
      <w:outlineLvl w:val="5"/>
    </w:pPr>
    <w:rPr>
      <w:caps/>
      <w:color w:val="0F4761" w:themeColor="accent1" w:themeShade="BF"/>
      <w:spacing w:val="10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D0719"/>
    <w:pPr>
      <w:spacing w:before="200" w:after="0"/>
      <w:outlineLvl w:val="6"/>
    </w:pPr>
    <w:rPr>
      <w:caps/>
      <w:color w:val="0F4761" w:themeColor="accent1" w:themeShade="BF"/>
      <w:spacing w:val="10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D0719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D0719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FD0719"/>
    <w:rPr>
      <w:caps/>
      <w:color w:val="FFFFFF" w:themeColor="background1"/>
      <w:spacing w:val="15"/>
      <w:sz w:val="22"/>
      <w:szCs w:val="22"/>
      <w:shd w:val="clear" w:color="auto" w:fill="156082" w:themeFill="accent1"/>
    </w:rPr>
  </w:style>
  <w:style w:type="character" w:customStyle="1" w:styleId="Titolo2Carattere">
    <w:name w:val="Titolo 2 Carattere"/>
    <w:basedOn w:val="Carpredefinitoparagrafo"/>
    <w:link w:val="Titolo2"/>
    <w:uiPriority w:val="9"/>
    <w:rsid w:val="00FD0719"/>
    <w:rPr>
      <w:caps/>
      <w:spacing w:val="15"/>
      <w:shd w:val="clear" w:color="auto" w:fill="C1E4F5" w:themeFill="accent1" w:themeFillTint="33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D0719"/>
    <w:rPr>
      <w:caps/>
      <w:color w:val="0A2F40" w:themeColor="accent1" w:themeShade="7F"/>
      <w:spacing w:val="15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D0719"/>
    <w:rPr>
      <w:caps/>
      <w:color w:val="0F4761" w:themeColor="accent1" w:themeShade="BF"/>
      <w:spacing w:val="10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D0719"/>
    <w:rPr>
      <w:caps/>
      <w:color w:val="0F4761" w:themeColor="accent1" w:themeShade="BF"/>
      <w:spacing w:val="10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D0719"/>
    <w:rPr>
      <w:caps/>
      <w:color w:val="0F4761" w:themeColor="accent1" w:themeShade="BF"/>
      <w:spacing w:val="10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D0719"/>
    <w:rPr>
      <w:caps/>
      <w:color w:val="0F4761" w:themeColor="accent1" w:themeShade="BF"/>
      <w:spacing w:val="10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D0719"/>
    <w:rPr>
      <w:caps/>
      <w:spacing w:val="10"/>
      <w:sz w:val="18"/>
      <w:szCs w:val="1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D0719"/>
    <w:rPr>
      <w:i/>
      <w:iCs/>
      <w:caps/>
      <w:spacing w:val="10"/>
      <w:sz w:val="18"/>
      <w:szCs w:val="18"/>
    </w:rPr>
  </w:style>
  <w:style w:type="paragraph" w:styleId="Titolo">
    <w:name w:val="Title"/>
    <w:basedOn w:val="Normale"/>
    <w:next w:val="Normale"/>
    <w:link w:val="TitoloCarattere"/>
    <w:uiPriority w:val="10"/>
    <w:qFormat/>
    <w:rsid w:val="00FD0719"/>
    <w:pPr>
      <w:spacing w:before="0" w:after="0"/>
    </w:pPr>
    <w:rPr>
      <w:rFonts w:asciiTheme="majorHAnsi" w:eastAsiaTheme="majorEastAsia" w:hAnsiTheme="majorHAnsi" w:cstheme="majorBidi"/>
      <w:caps/>
      <w:color w:val="156082" w:themeColor="accent1"/>
      <w:spacing w:val="10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FD0719"/>
    <w:rPr>
      <w:rFonts w:asciiTheme="majorHAnsi" w:eastAsiaTheme="majorEastAsia" w:hAnsiTheme="majorHAnsi" w:cstheme="majorBidi"/>
      <w:caps/>
      <w:color w:val="156082" w:themeColor="accent1"/>
      <w:spacing w:val="10"/>
      <w:sz w:val="52"/>
      <w:szCs w:val="52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D0719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D0719"/>
    <w:rPr>
      <w:caps/>
      <w:color w:val="595959" w:themeColor="text1" w:themeTint="A6"/>
      <w:spacing w:val="10"/>
      <w:sz w:val="21"/>
      <w:szCs w:val="21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D0719"/>
    <w:rPr>
      <w:i/>
      <w:iCs/>
      <w:sz w:val="24"/>
      <w:szCs w:val="24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D0719"/>
    <w:rPr>
      <w:i/>
      <w:iCs/>
      <w:sz w:val="24"/>
      <w:szCs w:val="24"/>
    </w:rPr>
  </w:style>
  <w:style w:type="paragraph" w:styleId="Paragrafoelenco">
    <w:name w:val="List Paragraph"/>
    <w:basedOn w:val="Normale"/>
    <w:qFormat/>
    <w:rsid w:val="00A25B22"/>
    <w:pPr>
      <w:ind w:left="720"/>
      <w:contextualSpacing/>
    </w:pPr>
  </w:style>
  <w:style w:type="character" w:styleId="Enfasiintensa">
    <w:name w:val="Intense Emphasis"/>
    <w:uiPriority w:val="21"/>
    <w:qFormat/>
    <w:rsid w:val="00FD0719"/>
    <w:rPr>
      <w:b/>
      <w:bCs/>
      <w:caps/>
      <w:color w:val="0A2F40" w:themeColor="accent1" w:themeShade="7F"/>
      <w:spacing w:val="10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D0719"/>
    <w:pPr>
      <w:spacing w:before="240" w:after="240" w:line="240" w:lineRule="auto"/>
      <w:ind w:left="1080" w:right="1080"/>
      <w:jc w:val="center"/>
    </w:pPr>
    <w:rPr>
      <w:color w:val="156082" w:themeColor="accent1"/>
      <w:sz w:val="24"/>
      <w:szCs w:val="24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D0719"/>
    <w:rPr>
      <w:color w:val="156082" w:themeColor="accent1"/>
      <w:sz w:val="24"/>
      <w:szCs w:val="24"/>
    </w:rPr>
  </w:style>
  <w:style w:type="character" w:styleId="Riferimentointenso">
    <w:name w:val="Intense Reference"/>
    <w:uiPriority w:val="32"/>
    <w:qFormat/>
    <w:rsid w:val="00FD0719"/>
    <w:rPr>
      <w:b/>
      <w:bCs/>
      <w:i/>
      <w:iCs/>
      <w:caps/>
      <w:color w:val="156082" w:themeColor="accent1"/>
    </w:rPr>
  </w:style>
  <w:style w:type="paragraph" w:styleId="Intestazione">
    <w:name w:val="header"/>
    <w:basedOn w:val="Normale"/>
    <w:link w:val="IntestazioneCarattere"/>
    <w:uiPriority w:val="99"/>
    <w:unhideWhenUsed/>
    <w:rsid w:val="00A25B22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A25B22"/>
  </w:style>
  <w:style w:type="paragraph" w:styleId="NormaleWeb">
    <w:name w:val="Normal (Web)"/>
    <w:basedOn w:val="Normale"/>
    <w:uiPriority w:val="99"/>
    <w:semiHidden/>
    <w:unhideWhenUsed/>
    <w:rsid w:val="002A0F46"/>
    <w:pPr>
      <w:spacing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it-IT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FD0719"/>
    <w:rPr>
      <w:b/>
      <w:bCs/>
      <w:color w:val="0F4761" w:themeColor="accent1" w:themeShade="BF"/>
      <w:sz w:val="16"/>
      <w:szCs w:val="16"/>
    </w:rPr>
  </w:style>
  <w:style w:type="character" w:styleId="Enfasigrassetto">
    <w:name w:val="Strong"/>
    <w:uiPriority w:val="22"/>
    <w:qFormat/>
    <w:rsid w:val="00FD0719"/>
    <w:rPr>
      <w:b/>
      <w:bCs/>
    </w:rPr>
  </w:style>
  <w:style w:type="character" w:styleId="Enfasicorsivo">
    <w:name w:val="Emphasis"/>
    <w:uiPriority w:val="20"/>
    <w:qFormat/>
    <w:rsid w:val="00FD0719"/>
    <w:rPr>
      <w:caps/>
      <w:color w:val="0A2F40" w:themeColor="accent1" w:themeShade="7F"/>
      <w:spacing w:val="5"/>
    </w:rPr>
  </w:style>
  <w:style w:type="paragraph" w:styleId="Nessunaspaziatura">
    <w:name w:val="No Spacing"/>
    <w:uiPriority w:val="1"/>
    <w:qFormat/>
    <w:rsid w:val="00FD0719"/>
    <w:pPr>
      <w:spacing w:after="0" w:line="240" w:lineRule="auto"/>
    </w:pPr>
  </w:style>
  <w:style w:type="character" w:styleId="Enfasidelicata">
    <w:name w:val="Subtle Emphasis"/>
    <w:uiPriority w:val="19"/>
    <w:qFormat/>
    <w:rsid w:val="00FD0719"/>
    <w:rPr>
      <w:i/>
      <w:iCs/>
      <w:color w:val="0A2F40" w:themeColor="accent1" w:themeShade="7F"/>
    </w:rPr>
  </w:style>
  <w:style w:type="character" w:styleId="Riferimentodelicato">
    <w:name w:val="Subtle Reference"/>
    <w:uiPriority w:val="31"/>
    <w:qFormat/>
    <w:rsid w:val="00FD0719"/>
    <w:rPr>
      <w:b/>
      <w:bCs/>
      <w:color w:val="156082" w:themeColor="accent1"/>
    </w:rPr>
  </w:style>
  <w:style w:type="character" w:styleId="Titolodellibro">
    <w:name w:val="Book Title"/>
    <w:uiPriority w:val="33"/>
    <w:qFormat/>
    <w:rsid w:val="00FD0719"/>
    <w:rPr>
      <w:b/>
      <w:bCs/>
      <w:i/>
      <w:iCs/>
      <w:spacing w:val="0"/>
    </w:rPr>
  </w:style>
  <w:style w:type="paragraph" w:styleId="Titolosommario">
    <w:name w:val="TOC Heading"/>
    <w:basedOn w:val="Titolo1"/>
    <w:next w:val="Normale"/>
    <w:uiPriority w:val="39"/>
    <w:unhideWhenUsed/>
    <w:qFormat/>
    <w:rsid w:val="00FD0719"/>
    <w:pPr>
      <w:outlineLvl w:val="9"/>
    </w:pPr>
  </w:style>
  <w:style w:type="paragraph" w:styleId="Sommario2">
    <w:name w:val="toc 2"/>
    <w:basedOn w:val="Normale"/>
    <w:next w:val="Normale"/>
    <w:autoRedefine/>
    <w:uiPriority w:val="39"/>
    <w:unhideWhenUsed/>
    <w:rsid w:val="00C101A1"/>
    <w:pPr>
      <w:spacing w:before="0" w:after="100" w:line="259" w:lineRule="auto"/>
      <w:ind w:left="220"/>
    </w:pPr>
    <w:rPr>
      <w:rFonts w:cs="Times New Roman"/>
      <w:sz w:val="22"/>
      <w:szCs w:val="22"/>
      <w:lang w:eastAsia="it-IT"/>
    </w:rPr>
  </w:style>
  <w:style w:type="paragraph" w:styleId="Sommario1">
    <w:name w:val="toc 1"/>
    <w:basedOn w:val="Normale"/>
    <w:next w:val="Normale"/>
    <w:autoRedefine/>
    <w:uiPriority w:val="39"/>
    <w:unhideWhenUsed/>
    <w:rsid w:val="00C101A1"/>
    <w:pPr>
      <w:spacing w:before="0" w:after="100" w:line="259" w:lineRule="auto"/>
    </w:pPr>
    <w:rPr>
      <w:rFonts w:cs="Times New Roman"/>
      <w:sz w:val="22"/>
      <w:szCs w:val="22"/>
      <w:lang w:eastAsia="it-IT"/>
    </w:rPr>
  </w:style>
  <w:style w:type="paragraph" w:styleId="Sommario3">
    <w:name w:val="toc 3"/>
    <w:basedOn w:val="Normale"/>
    <w:next w:val="Normale"/>
    <w:autoRedefine/>
    <w:uiPriority w:val="39"/>
    <w:unhideWhenUsed/>
    <w:rsid w:val="00C101A1"/>
    <w:pPr>
      <w:spacing w:before="0" w:after="100" w:line="259" w:lineRule="auto"/>
      <w:ind w:left="440"/>
    </w:pPr>
    <w:rPr>
      <w:rFonts w:cs="Times New Roman"/>
      <w:sz w:val="22"/>
      <w:szCs w:val="22"/>
      <w:lang w:eastAsia="it-IT"/>
    </w:rPr>
  </w:style>
  <w:style w:type="character" w:styleId="Collegamentoipertestuale">
    <w:name w:val="Hyperlink"/>
    <w:basedOn w:val="Carpredefinitoparagrafo"/>
    <w:uiPriority w:val="99"/>
    <w:unhideWhenUsed/>
    <w:rsid w:val="00C101A1"/>
    <w:rPr>
      <w:color w:val="467886" w:themeColor="hyperlink"/>
      <w:u w:val="single"/>
    </w:rPr>
  </w:style>
  <w:style w:type="paragraph" w:styleId="Testonotaapidipagina">
    <w:name w:val="footnote text"/>
    <w:basedOn w:val="Normale"/>
    <w:link w:val="TestonotaapidipaginaCarattere"/>
    <w:uiPriority w:val="99"/>
    <w:semiHidden/>
    <w:unhideWhenUsed/>
    <w:rsid w:val="00C052DC"/>
    <w:pPr>
      <w:spacing w:before="0" w:after="0" w:line="240" w:lineRule="auto"/>
    </w:pPr>
  </w:style>
  <w:style w:type="character" w:customStyle="1" w:styleId="TestonotaapidipaginaCarattere">
    <w:name w:val="Testo nota a piè di pagina Carattere"/>
    <w:basedOn w:val="Carpredefinitoparagrafo"/>
    <w:link w:val="Testonotaapidipagina"/>
    <w:uiPriority w:val="99"/>
    <w:semiHidden/>
    <w:rsid w:val="00C052DC"/>
  </w:style>
  <w:style w:type="character" w:styleId="Rimandonotaapidipagina">
    <w:name w:val="footnote reference"/>
    <w:basedOn w:val="Carpredefinitoparagrafo"/>
    <w:uiPriority w:val="99"/>
    <w:semiHidden/>
    <w:unhideWhenUsed/>
    <w:rsid w:val="00C052DC"/>
    <w:rPr>
      <w:vertAlign w:val="superscript"/>
    </w:rPr>
  </w:style>
  <w:style w:type="table" w:styleId="Grigliatabella">
    <w:name w:val="Table Grid"/>
    <w:basedOn w:val="Tabellanormale"/>
    <w:uiPriority w:val="39"/>
    <w:rsid w:val="004E38DD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lagriglia1chiara-colore1">
    <w:name w:val="Grid Table 1 Light Accent 1"/>
    <w:basedOn w:val="Tabellanormale"/>
    <w:uiPriority w:val="46"/>
    <w:rsid w:val="00EC02C2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lagriglia1chiara-colore6">
    <w:name w:val="Grid Table 1 Light Accent 6"/>
    <w:basedOn w:val="Tabellanormale"/>
    <w:uiPriority w:val="46"/>
    <w:rsid w:val="007C337C"/>
    <w:pPr>
      <w:spacing w:after="0" w:line="240" w:lineRule="auto"/>
    </w:pPr>
    <w:tblPr>
      <w:tblStyleRowBandSize w:val="1"/>
      <w:tblStyleColBandSize w:val="1"/>
      <w:tblBorders>
        <w:top w:val="single" w:sz="4" w:space="0" w:color="B3E5A1" w:themeColor="accent6" w:themeTint="66"/>
        <w:left w:val="single" w:sz="4" w:space="0" w:color="B3E5A1" w:themeColor="accent6" w:themeTint="66"/>
        <w:bottom w:val="single" w:sz="4" w:space="0" w:color="B3E5A1" w:themeColor="accent6" w:themeTint="66"/>
        <w:right w:val="single" w:sz="4" w:space="0" w:color="B3E5A1" w:themeColor="accent6" w:themeTint="66"/>
        <w:insideH w:val="single" w:sz="4" w:space="0" w:color="B3E5A1" w:themeColor="accent6" w:themeTint="66"/>
        <w:insideV w:val="single" w:sz="4" w:space="0" w:color="B3E5A1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Pidipagina">
    <w:name w:val="footer"/>
    <w:basedOn w:val="Normale"/>
    <w:link w:val="PidipaginaCarattere"/>
    <w:uiPriority w:val="99"/>
    <w:semiHidden/>
    <w:unhideWhenUsed/>
    <w:rsid w:val="001A186C"/>
    <w:pPr>
      <w:tabs>
        <w:tab w:val="center" w:pos="4819"/>
        <w:tab w:val="right" w:pos="9638"/>
      </w:tabs>
      <w:spacing w:before="0"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semiHidden/>
    <w:rsid w:val="001A186C"/>
  </w:style>
  <w:style w:type="character" w:styleId="Rimandocommento">
    <w:name w:val="annotation reference"/>
    <w:basedOn w:val="Carpredefinitoparagrafo"/>
    <w:uiPriority w:val="99"/>
    <w:semiHidden/>
    <w:unhideWhenUsed/>
    <w:rsid w:val="00826E8C"/>
    <w:rPr>
      <w:sz w:val="16"/>
      <w:szCs w:val="16"/>
    </w:rPr>
  </w:style>
  <w:style w:type="paragraph" w:styleId="Testocommento">
    <w:name w:val="annotation text"/>
    <w:basedOn w:val="Normale"/>
    <w:link w:val="TestocommentoCarattere"/>
    <w:uiPriority w:val="99"/>
    <w:unhideWhenUsed/>
    <w:rsid w:val="00826E8C"/>
    <w:pPr>
      <w:spacing w:line="240" w:lineRule="auto"/>
    </w:pPr>
  </w:style>
  <w:style w:type="character" w:customStyle="1" w:styleId="TestocommentoCarattere">
    <w:name w:val="Testo commento Carattere"/>
    <w:basedOn w:val="Carpredefinitoparagrafo"/>
    <w:link w:val="Testocommento"/>
    <w:uiPriority w:val="99"/>
    <w:rsid w:val="00826E8C"/>
  </w:style>
  <w:style w:type="paragraph" w:styleId="Soggettocommento">
    <w:name w:val="annotation subject"/>
    <w:basedOn w:val="Testocommento"/>
    <w:next w:val="Testocommento"/>
    <w:link w:val="SoggettocommentoCarattere"/>
    <w:uiPriority w:val="99"/>
    <w:semiHidden/>
    <w:unhideWhenUsed/>
    <w:rsid w:val="00826E8C"/>
    <w:rPr>
      <w:b/>
      <w:bCs/>
    </w:rPr>
  </w:style>
  <w:style w:type="character" w:customStyle="1" w:styleId="SoggettocommentoCarattere">
    <w:name w:val="Soggetto commento Carattere"/>
    <w:basedOn w:val="TestocommentoCarattere"/>
    <w:link w:val="Soggettocommento"/>
    <w:uiPriority w:val="99"/>
    <w:semiHidden/>
    <w:rsid w:val="00826E8C"/>
    <w:rPr>
      <w:b/>
      <w:bCs/>
    </w:rPr>
  </w:style>
  <w:style w:type="paragraph" w:styleId="Revisione">
    <w:name w:val="Revision"/>
    <w:hidden/>
    <w:uiPriority w:val="99"/>
    <w:semiHidden/>
    <w:rsid w:val="00B66887"/>
    <w:pPr>
      <w:spacing w:before="0"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3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1F3E906958102F499F643AF383AD096C" ma:contentTypeVersion="11" ma:contentTypeDescription="Creare un nuovo documento." ma:contentTypeScope="" ma:versionID="d4889fb89dc85aeff30227435eb6b86e">
  <xsd:schema xmlns:xsd="http://www.w3.org/2001/XMLSchema" xmlns:xs="http://www.w3.org/2001/XMLSchema" xmlns:p="http://schemas.microsoft.com/office/2006/metadata/properties" xmlns:ns2="c13524eb-6233-4fa3-8108-c68bf39452ea" xmlns:ns3="ef2f6dc1-b118-4085-8a4b-27a920398c0b" targetNamespace="http://schemas.microsoft.com/office/2006/metadata/properties" ma:root="true" ma:fieldsID="13937e638eadb956063e57991145c6bb" ns2:_="" ns3:_="">
    <xsd:import namespace="c13524eb-6233-4fa3-8108-c68bf39452ea"/>
    <xsd:import namespace="ef2f6dc1-b118-4085-8a4b-27a920398c0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13524eb-6233-4fa3-8108-c68bf39452e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Tag immagine" ma:readOnly="false" ma:fieldId="{5cf76f15-5ced-4ddc-b409-7134ff3c332f}" ma:taxonomyMulti="true" ma:sspId="ba5ac2a7-3560-40f7-821c-bf6f1f0e003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f2f6dc1-b118-4085-8a4b-27a920398c0b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7bf1f4a7-c602-444f-ad0f-3015175eaccc}" ma:internalName="TaxCatchAll" ma:showField="CatchAllData" ma:web="ef2f6dc1-b118-4085-8a4b-27a920398c0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ef2f6dc1-b118-4085-8a4b-27a920398c0b" xsi:nil="true"/>
    <lcf76f155ced4ddcb4097134ff3c332f xmlns="c13524eb-6233-4fa3-8108-c68bf39452ea">
      <Terms xmlns="http://schemas.microsoft.com/office/infopath/2007/PartnerControls"/>
    </lcf76f155ced4ddcb4097134ff3c332f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674E410-B5CD-4B88-BDC9-B22AB5CE9DD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13524eb-6233-4fa3-8108-c68bf39452ea"/>
    <ds:schemaRef ds:uri="ef2f6dc1-b118-4085-8a4b-27a920398c0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25BE907-42BC-4AEF-8E61-2566DA68E3D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C2E948B-B6EC-4D97-9DF3-336CD1F3E910}">
  <ds:schemaRefs>
    <ds:schemaRef ds:uri="http://schemas.microsoft.com/office/2006/metadata/properties"/>
    <ds:schemaRef ds:uri="http://schemas.microsoft.com/office/infopath/2007/PartnerControls"/>
    <ds:schemaRef ds:uri="ef2f6dc1-b118-4085-8a4b-27a920398c0b"/>
    <ds:schemaRef ds:uri="c13524eb-6233-4fa3-8108-c68bf39452ea"/>
  </ds:schemaRefs>
</ds:datastoreItem>
</file>

<file path=customXml/itemProps4.xml><?xml version="1.0" encoding="utf-8"?>
<ds:datastoreItem xmlns:ds="http://schemas.openxmlformats.org/officeDocument/2006/customXml" ds:itemID="{8405DA85-C32C-4C6D-A9B0-6AF69BB902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7</Pages>
  <Words>482</Words>
  <Characters>2861</Characters>
  <Application>Microsoft Office Word</Application>
  <DocSecurity>0</DocSecurity>
  <Lines>190</Lines>
  <Paragraphs>115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Rizzani Paolo (DATA ICT)</dc:creator>
  <cp:keywords/>
  <dc:description/>
  <cp:lastModifiedBy>Abate Rosa (GICT AI Data F)</cp:lastModifiedBy>
  <cp:revision>49</cp:revision>
  <dcterms:created xsi:type="dcterms:W3CDTF">2026-04-22T15:10:00Z</dcterms:created>
  <dcterms:modified xsi:type="dcterms:W3CDTF">2026-04-23T09:05:00Z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797ad33d-ed35-43c0-b526-22bc83c17deb_Enabled">
    <vt:lpwstr>true</vt:lpwstr>
  </property>
  <property fmtid="{D5CDD505-2E9C-101B-9397-08002B2CF9AE}" pid="3" name="MSIP_Label_797ad33d-ed35-43c0-b526-22bc83c17deb_SetDate">
    <vt:lpwstr>2026-01-12T20:06:25Z</vt:lpwstr>
  </property>
  <property fmtid="{D5CDD505-2E9C-101B-9397-08002B2CF9AE}" pid="4" name="MSIP_Label_797ad33d-ed35-43c0-b526-22bc83c17deb_Method">
    <vt:lpwstr>Standard</vt:lpwstr>
  </property>
  <property fmtid="{D5CDD505-2E9C-101B-9397-08002B2CF9AE}" pid="5" name="MSIP_Label_797ad33d-ed35-43c0-b526-22bc83c17deb_Name">
    <vt:lpwstr>797ad33d-ed35-43c0-b526-22bc83c17deb</vt:lpwstr>
  </property>
  <property fmtid="{D5CDD505-2E9C-101B-9397-08002B2CF9AE}" pid="6" name="MSIP_Label_797ad33d-ed35-43c0-b526-22bc83c17deb_SiteId">
    <vt:lpwstr>d539d4bf-5610-471a-afc2-1c76685cfefa</vt:lpwstr>
  </property>
  <property fmtid="{D5CDD505-2E9C-101B-9397-08002B2CF9AE}" pid="7" name="MSIP_Label_797ad33d-ed35-43c0-b526-22bc83c17deb_ActionId">
    <vt:lpwstr>b77aab30-a89e-4247-8493-e80a55841408</vt:lpwstr>
  </property>
  <property fmtid="{D5CDD505-2E9C-101B-9397-08002B2CF9AE}" pid="8" name="MSIP_Label_797ad33d-ed35-43c0-b526-22bc83c17deb_ContentBits">
    <vt:lpwstr>1</vt:lpwstr>
  </property>
  <property fmtid="{D5CDD505-2E9C-101B-9397-08002B2CF9AE}" pid="9" name="MSIP_Label_797ad33d-ed35-43c0-b526-22bc83c17deb_Tag">
    <vt:lpwstr>10, 3, 0, 1</vt:lpwstr>
  </property>
  <property fmtid="{D5CDD505-2E9C-101B-9397-08002B2CF9AE}" pid="10" name="ContentTypeId">
    <vt:lpwstr>0x0101001F3E906958102F499F643AF383AD096C</vt:lpwstr>
  </property>
  <property fmtid="{D5CDD505-2E9C-101B-9397-08002B2CF9AE}" pid="11" name="MediaServiceImageTags">
    <vt:lpwstr/>
  </property>
  <property fmtid="{D5CDD505-2E9C-101B-9397-08002B2CF9AE}" pid="12" name="docLang">
    <vt:lpwstr>it</vt:lpwstr>
  </property>
</Properties>
</file>