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AI Customer Support - Privacy Processing Description</w:t>
      </w:r>
    </w:p>
    <w:p>
      <w:pPr>
        <w:spacing w:after="160"/>
      </w:pPr>
      <w:r>
        <w:rPr>
          <w:i/>
          <w:sz w:val="22"/>
        </w:rPr>
        <w:t>Synthetic scenario for testing Veyntra Privacy automation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Test-only notice: </w:t>
            </w:r>
            <w:r>
              <w:t>This document contains fictional sample processing information for product testing. It is not a statement of Agora Origin's actual privacy practices and should not be used as production compliance evidence.</w:t>
            </w:r>
          </w:p>
        </w:tc>
      </w:tr>
    </w:tbl>
    <w:p/>
    <w:p>
      <w:pPr>
        <w:pStyle w:val="Heading1"/>
      </w:pPr>
      <w:r>
        <w:t>1. Processing activity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8208"/>
      </w:tblGrid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Organization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Agora Origin</w:t>
            </w:r>
          </w:p>
        </w:tc>
      </w:tr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Processing activity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AI Customer Support</w:t>
            </w:r>
          </w:p>
        </w:tc>
      </w:tr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Business purpose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Respond to customer support requests, summarize support conversations, suggest draft replies, and help support staff resolve technical issues.</w:t>
            </w:r>
          </w:p>
        </w:tc>
      </w:tr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Processing owner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Customer Support Operations</w:t>
            </w:r>
          </w:p>
        </w:tc>
      </w:tr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Data subjects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Customers, prospective customers, and customer employees who contact support.</w:t>
            </w:r>
          </w:p>
        </w:tc>
      </w:tr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Primary systems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Customer Support Portal, Support CRM, AI Support Assistant</w:t>
            </w:r>
          </w:p>
        </w:tc>
      </w:tr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AI system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AI Support Assistant</w:t>
            </w:r>
          </w:p>
        </w:tc>
      </w:tr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Third-party processor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OpenAI API (model provider)</w:t>
            </w:r>
          </w:p>
        </w:tc>
      </w:tr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Primary processing location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European Union and United States</w:t>
            </w:r>
          </w:p>
        </w:tc>
      </w:tr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Record status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Draft - privacy review required</w:t>
            </w:r>
          </w:p>
        </w:tc>
      </w:tr>
    </w:tbl>
    <w:p>
      <w:pPr>
        <w:spacing w:after="0"/>
      </w:pPr>
    </w:p>
    <w:p>
      <w:pPr>
        <w:pStyle w:val="Heading1"/>
      </w:pPr>
      <w:r>
        <w:t>2. Personal data processed</w:t>
      </w:r>
    </w:p>
    <w:p>
      <w:pPr>
        <w:pStyle w:val="ListBullet"/>
        <w:spacing w:after="40"/>
      </w:pPr>
      <w:r>
        <w:t>Identity and contact data: name, business email address, company name, user/account identifier.</w:t>
      </w:r>
    </w:p>
    <w:p>
      <w:pPr>
        <w:pStyle w:val="ListBullet"/>
        <w:spacing w:after="40"/>
      </w:pPr>
      <w:r>
        <w:t>Support content: questions, conversation history, troubleshooting details, and text entered by the requester.</w:t>
      </w:r>
    </w:p>
    <w:p>
      <w:pPr>
        <w:pStyle w:val="ListBullet"/>
        <w:spacing w:after="40"/>
      </w:pPr>
      <w:r>
        <w:t>Technical data: IP address, browser/device information, timestamps, application logs, and diagnostic identifiers.</w:t>
      </w:r>
    </w:p>
    <w:p>
      <w:pPr>
        <w:pStyle w:val="ListBullet"/>
        <w:spacing w:after="40"/>
      </w:pPr>
      <w:r>
        <w:t>Attachments: screenshots, logs, configuration files, or documents voluntarily supplied during a support case.</w:t>
      </w:r>
    </w:p>
    <w:p>
      <w:pPr>
        <w:pStyle w:val="ListBullet"/>
        <w:spacing w:after="40"/>
      </w:pPr>
      <w:r>
        <w:t>Special-category data is not intentionally requested. It may appear incidentally if a customer includes it in free-text support content or an attachment.</w:t>
      </w:r>
    </w:p>
    <w:p>
      <w:pPr>
        <w:pStyle w:val="Heading1"/>
      </w:pPr>
      <w:r>
        <w:t>3. Purpose and lawful-basis review</w:t>
      </w:r>
    </w:p>
    <w:p>
      <w:r>
        <w:rPr>
          <w:b/>
        </w:rPr>
        <w:t xml:space="preserve">Primary purpose: </w:t>
      </w:r>
      <w:r>
        <w:t>Provide customer support and resolve service incidents.</w:t>
      </w:r>
    </w:p>
    <w:p>
      <w:r>
        <w:rPr>
          <w:b/>
        </w:rPr>
        <w:t xml:space="preserve">Candidate lawful basis for support content: </w:t>
      </w:r>
      <w:r>
        <w:t xml:space="preserve">Contract / steps taken at the request of the customer. </w:t>
      </w:r>
      <w:r>
        <w:rPr>
          <w:i/>
        </w:rPr>
        <w:t>Requires privacy-team confirmation before the ROPA record is approved.</w:t>
      </w:r>
    </w:p>
    <w:p>
      <w:r>
        <w:rPr>
          <w:b/>
        </w:rPr>
        <w:t xml:space="preserve">Candidate lawful basis for security and diagnostic logging: </w:t>
      </w:r>
      <w:r>
        <w:t xml:space="preserve">Legitimate interests in service security, abuse prevention, and troubleshooting. </w:t>
      </w:r>
      <w:r>
        <w:rPr>
          <w:i/>
        </w:rPr>
        <w:t>Requires privacy-team confirmation and balancing review where applicable.</w:t>
      </w:r>
    </w:p>
    <w:p>
      <w:pPr>
        <w:pStyle w:val="Heading1"/>
      </w:pPr>
      <w:r>
        <w:t>4. Data flow and recipients</w:t>
      </w:r>
    </w:p>
    <w:p>
      <w:pPr>
        <w:pStyle w:val="ListBullet"/>
        <w:spacing w:after="40"/>
      </w:pPr>
      <w:r>
        <w:t>Customer submits a support request through the support portal or email channel.</w:t>
      </w:r>
    </w:p>
    <w:p>
      <w:pPr>
        <w:pStyle w:val="ListBullet"/>
        <w:spacing w:after="40"/>
      </w:pPr>
      <w:r>
        <w:t>The Support CRM stores the case, contact details, conversation history, and attachments.</w:t>
      </w:r>
    </w:p>
    <w:p>
      <w:pPr>
        <w:pStyle w:val="ListBullet"/>
        <w:spacing w:after="40"/>
      </w:pPr>
      <w:r>
        <w:t>The AI Support Assistant receives selected support text to summarize the issue and propose a draft response.</w:t>
      </w:r>
    </w:p>
    <w:p>
      <w:pPr>
        <w:pStyle w:val="ListBullet"/>
        <w:spacing w:after="40"/>
      </w:pPr>
      <w:r>
        <w:t>Support staff review AI-generated suggestions before sending any response to the customer.</w:t>
      </w:r>
    </w:p>
    <w:p>
      <w:pPr>
        <w:pStyle w:val="ListBullet"/>
        <w:spacing w:after="40"/>
      </w:pPr>
      <w:r>
        <w:t>The AI model provider processes submitted text as a processor/service provider under contract.</w:t>
      </w:r>
    </w:p>
    <w:p>
      <w:pPr>
        <w:pStyle w:val="ListBullet"/>
        <w:spacing w:after="40"/>
      </w:pPr>
      <w:r>
        <w:t>Authorized engineering personnel may access diagnostic data when escalation is required.</w:t>
      </w:r>
    </w:p>
    <w:p>
      <w:pPr>
        <w:pStyle w:val="Heading1"/>
      </w:pPr>
      <w:r>
        <w:t>5. International transfer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8208"/>
      </w:tblGrid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Exporter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Agora Origin</w:t>
            </w:r>
          </w:p>
        </w:tc>
      </w:tr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Importer / recipient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OpenAI API (model provider)</w:t>
            </w:r>
          </w:p>
        </w:tc>
      </w:tr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Destination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United States</w:t>
            </w:r>
          </w:p>
        </w:tc>
      </w:tr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Data transferred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Selected support-message text and limited technical context necessary to generate a support suggestion.</w:t>
            </w:r>
          </w:p>
        </w:tc>
      </w:tr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Transfer mechanism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Standard Contractual Clauses - recorded as the current contractual mechanism for this synthetic test scenario; privacy review required.</w:t>
            </w:r>
          </w:p>
        </w:tc>
      </w:tr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Supplementary safeguards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Encryption in transit, access controls, minimization of submitted content, contractual restrictions, and logging.</w:t>
            </w:r>
          </w:p>
        </w:tc>
      </w:tr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Transfer review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Transfer Impact Assessment should be reviewed if the service, processing location, or legal mechanism changes.</w:t>
            </w:r>
          </w:p>
        </w:tc>
      </w:tr>
    </w:tbl>
    <w:p>
      <w:pPr>
        <w:spacing w:after="0"/>
      </w:pPr>
    </w:p>
    <w:p>
      <w:pPr>
        <w:pStyle w:val="Heading1"/>
      </w:pPr>
      <w:r>
        <w:t>6. Retention and deletion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8208"/>
      </w:tblGrid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Support case records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24 months after case closure, unless a longer period is required for an active dispute or legal obligation.</w:t>
            </w:r>
          </w:p>
        </w:tc>
      </w:tr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Diagnostic/security logs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12 months.</w:t>
            </w:r>
          </w:p>
        </w:tc>
      </w:tr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Temporary support attachments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90 days after case closure unless retained as evidence for an unresolved issue.</w:t>
            </w:r>
          </w:p>
        </w:tc>
      </w:tr>
      <w:tr>
        <w:tc>
          <w:tcPr>
            <w:tcW w:type="dxa" w:w="3024"/>
            <w:vAlign w:val="top"/>
            <w:shd w:fill="EEF2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</w:rPr>
              <w:t>AI provider retention</w:t>
            </w:r>
          </w:p>
        </w:tc>
        <w:tc>
          <w:tcPr>
            <w:tcW w:type="dxa" w:w="82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t>Configured to the minimum operational retention supported by the service and contract; exact production setting requires verification.</w:t>
            </w:r>
          </w:p>
        </w:tc>
      </w:tr>
    </w:tbl>
    <w:p>
      <w:pPr>
        <w:spacing w:after="0"/>
      </w:pPr>
    </w:p>
    <w:p>
      <w:pPr>
        <w:pStyle w:val="Heading1"/>
      </w:pPr>
      <w:r>
        <w:t>7. Existing safeguards</w:t>
      </w:r>
    </w:p>
    <w:p>
      <w:pPr>
        <w:pStyle w:val="ListBullet"/>
        <w:spacing w:after="40"/>
      </w:pPr>
      <w:r>
        <w:t>Role-based access to support records.</w:t>
      </w:r>
    </w:p>
    <w:p>
      <w:pPr>
        <w:pStyle w:val="ListBullet"/>
        <w:spacing w:after="40"/>
      </w:pPr>
      <w:r>
        <w:t>Multi-factor authentication for administrative access.</w:t>
      </w:r>
    </w:p>
    <w:p>
      <w:pPr>
        <w:pStyle w:val="ListBullet"/>
        <w:spacing w:after="40"/>
      </w:pPr>
      <w:r>
        <w:t>Encryption in transit and at rest where supported.</w:t>
      </w:r>
    </w:p>
    <w:p>
      <w:pPr>
        <w:pStyle w:val="ListBullet"/>
        <w:spacing w:after="40"/>
      </w:pPr>
      <w:r>
        <w:t>Support agents are instructed not to request unnecessary personal or special-category data.</w:t>
      </w:r>
    </w:p>
    <w:p>
      <w:pPr>
        <w:pStyle w:val="ListBullet"/>
        <w:spacing w:after="40"/>
      </w:pPr>
      <w:r>
        <w:t>Human review of AI-generated draft responses before customer communication.</w:t>
      </w:r>
    </w:p>
    <w:p>
      <w:pPr>
        <w:pStyle w:val="ListBullet"/>
        <w:spacing w:after="40"/>
      </w:pPr>
      <w:r>
        <w:t>Access and security logging for support and administrative systems.</w:t>
      </w:r>
    </w:p>
    <w:p>
      <w:pPr>
        <w:pStyle w:val="ListBullet"/>
        <w:spacing w:after="40"/>
      </w:pPr>
      <w:r>
        <w:t>Documented incident-response process.</w:t>
      </w:r>
    </w:p>
    <w:p>
      <w:pPr>
        <w:pStyle w:val="ListBullet"/>
        <w:spacing w:after="40"/>
      </w:pPr>
      <w:r>
        <w:t>Vendor contractual controls and data-processing terms.</w:t>
      </w:r>
    </w:p>
    <w:p>
      <w:pPr>
        <w:pStyle w:val="Heading1"/>
      </w:pPr>
      <w:r>
        <w:t>8. DPIA screening indicators</w:t>
      </w:r>
    </w:p>
    <w:p>
      <w:r>
        <w:rPr>
          <w:b/>
        </w:rPr>
        <w:t>The following characteristics should be considered during DPIA screening:</w:t>
      </w:r>
    </w:p>
    <w:p>
      <w:pPr>
        <w:pStyle w:val="ListBullet"/>
        <w:spacing w:after="40"/>
      </w:pPr>
      <w:r>
        <w:t>Use of AI/innovative technology to analyze customer support content.</w:t>
      </w:r>
    </w:p>
    <w:p>
      <w:pPr>
        <w:pStyle w:val="ListBullet"/>
        <w:spacing w:after="40"/>
      </w:pPr>
      <w:r>
        <w:t>Potential systematic analysis of a large number of support interactions.</w:t>
      </w:r>
    </w:p>
    <w:p>
      <w:pPr>
        <w:pStyle w:val="ListBullet"/>
        <w:spacing w:after="40"/>
      </w:pPr>
      <w:r>
        <w:t>Free-text fields may incidentally contain sensitive or special-category information.</w:t>
      </w:r>
    </w:p>
    <w:p>
      <w:pPr>
        <w:pStyle w:val="ListBullet"/>
        <w:spacing w:after="40"/>
      </w:pPr>
      <w:r>
        <w:t>Customer communications and technical identifiers are combined to troubleshoot issues.</w:t>
      </w:r>
    </w:p>
    <w:p>
      <w:pPr>
        <w:pStyle w:val="ListBullet"/>
        <w:spacing w:after="40"/>
      </w:pPr>
      <w:r>
        <w:t>Processing involves a third-party model provider and an international data transfer.</w:t>
      </w:r>
    </w:p>
    <w:p>
      <w:pPr>
        <w:pStyle w:val="ListBullet"/>
        <w:spacing w:after="40"/>
      </w:pPr>
      <w:r>
        <w:t>The system does not make solely automated decisions producing legal or similarly significant effects.</w:t>
      </w:r>
    </w:p>
    <w:p>
      <w:r>
        <w:rPr>
          <w:b/>
        </w:rPr>
        <w:t>DPIA decision: Needs human privacy review. This document does not conclude that a DPIA is legally required.</w:t>
      </w:r>
    </w:p>
    <w:p>
      <w:pPr>
        <w:pStyle w:val="Heading1"/>
      </w:pPr>
      <w:r>
        <w:t>9. Privacy rights and data-request search locations</w:t>
      </w:r>
    </w:p>
    <w:p>
      <w:r>
        <w:t>If a customer makes an access, correction, deletion, restriction, or objection request, likely search locations include:</w:t>
      </w:r>
    </w:p>
    <w:p>
      <w:pPr>
        <w:pStyle w:val="ListBullet"/>
        <w:spacing w:after="40"/>
      </w:pPr>
      <w:r>
        <w:t>Support CRM</w:t>
      </w:r>
    </w:p>
    <w:p>
      <w:pPr>
        <w:pStyle w:val="ListBullet"/>
        <w:spacing w:after="40"/>
      </w:pPr>
      <w:r>
        <w:t>Customer Support Portal</w:t>
      </w:r>
    </w:p>
    <w:p>
      <w:pPr>
        <w:pStyle w:val="ListBullet"/>
        <w:spacing w:after="40"/>
      </w:pPr>
      <w:r>
        <w:t>AI Support Assistant request/response logs, where retained</w:t>
      </w:r>
    </w:p>
    <w:p>
      <w:pPr>
        <w:pStyle w:val="ListBullet"/>
        <w:spacing w:after="40"/>
      </w:pPr>
      <w:r>
        <w:t>Security and diagnostic logs</w:t>
      </w:r>
    </w:p>
    <w:p>
      <w:pPr>
        <w:pStyle w:val="ListBullet"/>
        <w:spacing w:after="40"/>
      </w:pPr>
      <w:r>
        <w:t>Support attachments repository</w:t>
      </w:r>
    </w:p>
    <w:p>
      <w:r>
        <w:t>Identity verification and any applicable exemptions must be reviewed before responding to a data-subject request.</w:t>
      </w:r>
    </w:p>
    <w:p>
      <w:pPr>
        <w:pStyle w:val="Heading1"/>
      </w:pPr>
      <w:r>
        <w:t>10. Review triggers</w:t>
      </w:r>
    </w:p>
    <w:p>
      <w:pPr>
        <w:pStyle w:val="ListBullet"/>
        <w:spacing w:after="40"/>
      </w:pPr>
      <w:r>
        <w:t>Change of AI model provider or subprocessor.</w:t>
      </w:r>
    </w:p>
    <w:p>
      <w:pPr>
        <w:pStyle w:val="ListBullet"/>
        <w:spacing w:after="40"/>
      </w:pPr>
      <w:r>
        <w:t>Change of processing or storage country.</w:t>
      </w:r>
    </w:p>
    <w:p>
      <w:pPr>
        <w:pStyle w:val="ListBullet"/>
        <w:spacing w:after="40"/>
      </w:pPr>
      <w:r>
        <w:t>Material increase in processing scale.</w:t>
      </w:r>
    </w:p>
    <w:p>
      <w:pPr>
        <w:pStyle w:val="ListBullet"/>
        <w:spacing w:after="40"/>
      </w:pPr>
      <w:r>
        <w:t>Introduction of automated decisions with significant effects.</w:t>
      </w:r>
    </w:p>
    <w:p>
      <w:pPr>
        <w:pStyle w:val="ListBullet"/>
        <w:spacing w:after="40"/>
      </w:pPr>
      <w:r>
        <w:t>New use of special-category data.</w:t>
      </w:r>
    </w:p>
    <w:p>
      <w:pPr>
        <w:pStyle w:val="ListBullet"/>
        <w:spacing w:after="40"/>
      </w:pPr>
      <w:r>
        <w:t>Material change to retention periods or support data categories.</w:t>
      </w:r>
    </w:p>
    <w:p>
      <w:pPr>
        <w:pStyle w:val="ListBullet"/>
        <w:spacing w:after="40"/>
      </w:pPr>
      <w:r>
        <w:t>New DPA, SCC, or transfer-mechanism version.</w:t>
      </w:r>
    </w:p>
    <w:p>
      <w:pPr>
        <w:pStyle w:val="Heading1"/>
      </w:pPr>
      <w:r>
        <w:t>11. Items requiring human confirmation</w:t>
      </w:r>
    </w:p>
    <w:p>
      <w:pPr>
        <w:pStyle w:val="ListBullet"/>
        <w:spacing w:after="40"/>
      </w:pPr>
      <w:r>
        <w:t>Confirm the lawful basis for customer-support processing.</w:t>
      </w:r>
    </w:p>
    <w:p>
      <w:pPr>
        <w:pStyle w:val="ListBullet"/>
        <w:spacing w:after="40"/>
      </w:pPr>
      <w:r>
        <w:t>Confirm the lawful basis and balancing assessment for diagnostic/security logs.</w:t>
      </w:r>
    </w:p>
    <w:p>
      <w:pPr>
        <w:pStyle w:val="ListBullet"/>
        <w:spacing w:after="40"/>
      </w:pPr>
      <w:r>
        <w:t>Confirm whether DPIA screening results require a full DPIA.</w:t>
      </w:r>
    </w:p>
    <w:p>
      <w:pPr>
        <w:pStyle w:val="ListBullet"/>
        <w:spacing w:after="40"/>
      </w:pPr>
      <w:r>
        <w:t>Confirm the international-transfer mechanism and any supplementary safeguards.</w:t>
      </w:r>
    </w:p>
    <w:p>
      <w:pPr>
        <w:pStyle w:val="ListBullet"/>
        <w:spacing w:after="40"/>
      </w:pPr>
      <w:r>
        <w:t>Confirm actual retention settings in production systems.</w:t>
      </w:r>
    </w:p>
    <w:p>
      <w:pPr>
        <w:pStyle w:val="ListBullet"/>
        <w:spacing w:after="40"/>
      </w:pPr>
      <w:r>
        <w:t>Confirm whether any special-category data is intentionally processed.</w:t>
      </w:r>
    </w:p>
    <w:p>
      <w:pPr>
        <w:pStyle w:val="ListBullet"/>
        <w:spacing w:after="40"/>
      </w:pPr>
      <w:r>
        <w:t>Confirm processing owner and review frequency.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Privacy Test Fixture | Veyntra testing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SYNTHETIC TEST FIXTURE - NOT PRODUCTION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