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0"/>
        </w:rPr>
        <w:t>Ramachandran-regularized torsion-space diffusion improves the physical fidelity of generated intrinsically disordered protein ensembles</w:t>
      </w:r>
    </w:p>
    <w:p>
      <w:pPr>
        <w:jc w:val="center"/>
      </w:pPr>
      <w:r>
        <w:rPr>
          <w:b/>
          <w:color w:val="B00000"/>
        </w:rPr>
        <w:t>[AUTHORS] — [AFFILIATIONS] — [CORRESPONDING EMAIL]</w:t>
      </w:r>
    </w:p>
    <w:p>
      <w:pPr>
        <w:pStyle w:val="Heading1"/>
      </w:pPr>
      <w:r>
        <w:t>Abstract</w:t>
      </w:r>
    </w:p>
    <w:p>
      <w:r>
        <w:t xml:space="preserve">Intrinsically disordered proteins (IDPs) populate broad conformational ensembles that are central to their function yet difficult to model. Generative models in backbone torsion space are attractive because they sidestep the rigid-body constraints of Cartesian generation, but they can place mass in physically implausible regions of (φ, ψ) space. We introduce a torus-native wrapped-diffusion model for IDP torsion ensembles, conditioned on sequence through ESM-2 embeddings, and add a residue-type-specific Ramachandran kernel-density regularizer that pulls generated angles toward empirically populated basins. We evaluate against a residue-specific statistical-coil null model and idpGAN on held-out Protein Ensemble Database (PED) proteins, scoring per-residue (φ, ψ) Jensen–Shannon divergence, distributions of global size observables, and agreement with experimental SAXS and NMR data. </w:t>
      </w:r>
      <w:r>
        <w:rPr>
          <w:b/>
          <w:color w:val="B00000"/>
        </w:rPr>
        <w:t>[RESULT: headline effect of the regularizer on JSD and SAXS/NMR χ², with the fidelity/diversity trade-off quantified — fill from runs/*/eval.json.]</w:t>
      </w:r>
    </w:p>
    <w:p>
      <w:pPr>
        <w:pStyle w:val="Heading1"/>
      </w:pPr>
      <w:r>
        <w:t>1. Introduction</w:t>
      </w:r>
    </w:p>
    <w:p>
      <w:pPr>
        <w:spacing w:after="120"/>
      </w:pPr>
      <w:r>
        <w:t>IDPs and intrinsically disordered regions are abundant in eukaryotic proteomes and mediate signalling, regulation, and condensate formation. Because they lack a single native fold, their behaviour is described by an ensemble of interconverting conformations rather than one structure. Experimentally, such ensembles are constrained by small-angle X-ray scattering (SAXS), nuclear magnetic resonance (NMR) chemical shifts, residual dipolar couplings, and paramagnetic relaxation enhancements, and are deposited in resources such as the Protein Ensemble Database (PED).</w:t>
      </w:r>
    </w:p>
    <w:p>
      <w:pPr>
        <w:spacing w:after="120"/>
      </w:pPr>
      <w:r>
        <w:t>Generative modelling of IDP ensembles has the potential to accelerate this characterisation. Models that operate directly on backbone torsion angles (φ, ψ) are appealing because local bond geometry is approximately fixed, so torsions are the natural degrees of freedom; however, angles are periodic, and naively treating them as Euclidean quantities — for example regressing sin/cos features under a mean-squared error — introduces artefacts at the ±π seam and can populate disallowed Ramachandran regions. A second difficulty is that a model trained only to reproduce marginal angle statistics may still generate sterically or stereochemically implausible conformations.</w:t>
      </w:r>
    </w:p>
    <w:p>
      <w:pPr>
        <w:spacing w:after="120"/>
      </w:pPr>
      <w:r>
        <w:t>We make the following contributions. (i) We formulate IDP torsion generation as torus-native wrapped diffusion with an x0 (clean-angle) parameterisation, which respects angular periodicity by construction. (ii) We introduce a residue-type-specific Ramachandran kernel-density regularizer and study its effect as the paper's central question. (iii) We evaluate with protein-level data splits against both a statistical-coil null and idpGAN, and validate against experimental SAXS and NMR observables, reporting fidelity and diversity jointly.</w:t>
      </w:r>
    </w:p>
    <w:p>
      <w:pPr>
        <w:pStyle w:val="Heading1"/>
      </w:pPr>
      <w:r>
        <w:t>2. Related work</w:t>
      </w:r>
    </w:p>
    <w:p>
      <w:pPr>
        <w:spacing w:after="120"/>
      </w:pPr>
      <w:r>
        <w:t>Statistical-coil and fragment-assembly models (e.g. flexible-meccano-style approaches) generate disordered ensembles by sampling residue-specific backbone angles independently and remain a standard null model. Learned generative approaches include idpGAN, a sequence-conditioned generator of coarse-grained IDP conformations, and a growing set of diffusion models for protein structure. Torsional diffusion introduced diffusion on the torus for small-molecule conformer generation, establishing the wrapped-diffusion machinery we adapt here to protein backbones.</w:t>
      </w:r>
    </w:p>
    <w:p>
      <w:r>
        <w:rPr>
          <w:b/>
          <w:color w:val="B00000"/>
        </w:rPr>
        <w:t>[Expand with the specific prior-work citations you will include; position this work relative to each — one or two sentences each.]</w:t>
      </w:r>
    </w:p>
    <w:p>
      <w:pPr>
        <w:pStyle w:val="Heading1"/>
      </w:pPr>
      <w:r>
        <w:t>3. Methods</w:t>
      </w:r>
    </w:p>
    <w:p>
      <w:pPr>
        <w:pStyle w:val="Heading2"/>
      </w:pPr>
      <w:r>
        <w:t>3.1 Torsion representation and circular geometry</w:t>
      </w:r>
    </w:p>
    <w:p>
      <w:pPr>
        <w:spacing w:after="120"/>
      </w:pPr>
      <w:r>
        <w:t>Each residue i contributes a backbone dihedral pair (φ_i, ψ_i) on the circle S^1, so a chain of L residues is a point on the 2L-torus. Angles are stored in (−π, π]. All operations that compare angles use the signed shortest-arc difference Δ(a, b) = wrap(a − b), and the network consumes the periodicity-respecting feature encoding [cos φ, sin φ, cos ψ, sin ψ]. Terminal residues, whose φ or ψ is undefined, are masked throughout training and evaluation.</w:t>
      </w:r>
    </w:p>
    <w:p>
      <w:pPr>
        <w:pStyle w:val="Heading2"/>
      </w:pPr>
      <w:r>
        <w:t>3.2 Torus-native wrapped diffusion</w:t>
      </w:r>
    </w:p>
    <w:p>
      <w:pPr>
        <w:spacing w:after="120"/>
      </w:pPr>
      <w:r>
        <w:t>The forward process adds wrapped-normal noise of increasing width to the clean angles: q(x_t | x_0) wraps a Gaussian of standard deviation σ_t onto the circle, where σ_t follows a cosine schedule rescaled so that the highest-noise level is effectively uniform on the circle. As σ_t grows, the wrapped normal converges to the uniform distribution, which is the prior from which the reverse process is initialised.</w:t>
      </w:r>
    </w:p>
    <w:p>
      <w:pPr>
        <w:spacing w:after="120"/>
      </w:pPr>
      <w:r>
        <w:t>We use an x0-prediction parameterisation: the denoiser predicts the clean angles rather than the added noise. On the circle the winding number of the noise is unidentifiable after wrapping, so noise prediction is ill-posed; predicting the destination angle avoids this and makes the Ramachandran regularizer straightforward to apply, because it acts on a concrete predicted angle. The reverse step interpolates along the shortest arc from x_t toward the predicted clean angle by a fraction set by the drop in angular variance between consecutive steps, then adds wrapped posterior noise; every operation is expressed through the shortest-arc difference so nothing crosses the ±π seam incorrectly.</w:t>
      </w:r>
    </w:p>
    <w:p>
      <w:pPr>
        <w:pStyle w:val="Heading2"/>
      </w:pPr>
      <w:r>
        <w:t>3.3 Sequence-conditioned denoiser</w:t>
      </w:r>
    </w:p>
    <w:p>
      <w:pPr>
        <w:spacing w:after="120"/>
      </w:pPr>
      <w:r>
        <w:t xml:space="preserve">The denoiser is a pre-norm Transformer encoder. Per-residue inputs are a linear projection of the noised (cos, sin) features added to a projection of the per-residue ESM-2 embedding; conditioning is injected per residue rather than pooled, because torsion angles are local quantities. The diffusion timestep is embedded sinusoidally and supplied through adaptive layer-norm modulation in every block. Padding is handled with a key-padding mask so variable-length chains batch correctly. The default model has </w:t>
      </w:r>
      <w:r>
        <w:rPr>
          <w:b/>
          <w:color w:val="B00000"/>
        </w:rPr>
        <w:t xml:space="preserve">[N] </w:t>
      </w:r>
      <w:r>
        <w:t>parameters (width 384, depth 6), sized for a single consumer GPU; width and depth are configuration options for scaling up.</w:t>
      </w:r>
    </w:p>
    <w:p>
      <w:pPr>
        <w:pStyle w:val="Heading2"/>
      </w:pPr>
      <w:r>
        <w:t>3.4 Ramachandran-KDE regularizer (central contribution)</w:t>
      </w:r>
    </w:p>
    <w:p>
      <w:pPr>
        <w:spacing w:after="120"/>
      </w:pPr>
      <w:r>
        <w:t>We precompute a kernel-density estimate of the empirical (φ, ψ) distribution, separately for each residue class — general, glycine, proline, and pre-proline — because these classes occupy distinct basins. Densities are represented on a periodic grid over (−π, π]^2 built from von Mises kernels, and are queried with wrap-around bilinear interpolation so the density is differentiable in the query angle. Crucially, the KDE is estimated from disordered-protein data (PED), not from folded-protein Ramachandran maps, so it reflects the PPII-enriched IDP landscape rather than biasing the model toward folded statistics.</w:t>
      </w:r>
    </w:p>
    <w:p>
      <w:pPr>
        <w:spacing w:after="120"/>
      </w:pPr>
      <w:r>
        <w:t>During training we add to the angular reconstruction loss a penalty equal to the mean negative log-density, under the appropriate per-residue class density, of the model's predicted clean angles at unmasked residues. The penalty weight λ is annealed from λ_max to λ_min on a cosine schedule: early in training the prior stabilises learning and shepherds predictions toward populated regions, while late in training the data dominate so the model can learn sequence-specific deviations and the prior cannot, by itself, collapse ensemble diversity. The 'without-regularization' arm sets λ_max = 0; all else is identical.</w:t>
      </w:r>
    </w:p>
    <w:p>
      <w:pPr>
        <w:spacing w:after="120"/>
      </w:pPr>
      <w:r>
        <w:t>The training objective is the masked angular reconstruction loss L_recon = mean over residues of [1 − cos Δφ] + [1 − cos Δψ], plus the annealed regularizer λ(t) · L_KDE. The 1 − cos loss is the natural smooth, periodic discrepancy on the circle and is minimised when predicted and true angles coincide.</w:t>
      </w:r>
    </w:p>
    <w:p>
      <w:pPr>
        <w:pStyle w:val="Heading2"/>
      </w:pPr>
      <w:r>
        <w:t>3.5 Reconstruction and observables</w:t>
      </w:r>
    </w:p>
    <w:p>
      <w:pPr>
        <w:spacing w:after="120"/>
      </w:pPr>
      <w:r>
        <w:t>To compute global observables and to interface with experimental forward models, we reconstruct N, CA, C backbone coordinates from generated torsions using the Natural Extension Reference Frame algorithm with ideal bond lengths and angles and trans-ω. From the CA trace we compute the radius of gyration, end-to-end distance, and asphericity. Because torsion-only reconstruction with ideal geometry cannot detect steric clashes, we additionally report a CA–CA clash rate to quantify this known limitation rather than leaving it implicit.</w:t>
      </w:r>
    </w:p>
    <w:p>
      <w:pPr>
        <w:pStyle w:val="Heading2"/>
      </w:pPr>
      <w:r>
        <w:t>3.6 Data, splits, and baselines</w:t>
      </w:r>
    </w:p>
    <w:p>
      <w:pPr>
        <w:spacing w:after="120"/>
      </w:pPr>
      <w:r>
        <w:t>We use PED ensembles, treating each entry as one protein whose deposited models constitute its reference ensemble. Sequence embeddings are taken from ESM-2 (650M) and cached per sequence. Data are split at the level of whole proteins — optionally grouped by sequence-identity clusters — so that no conformer of a test protein is seen in training; a per-conformer split would leak ensemble members across the boundary. We compare against a residue-specific statistical-coil null model that samples each residue's angles independently from the same per-class densities, and against idpGAN on the same held-out proteins.</w:t>
      </w:r>
    </w:p>
    <w:p>
      <w:r>
        <w:rPr>
          <w:b/>
          <w:color w:val="B00000"/>
        </w:rPr>
        <w:t>[DATA: number of PED entries, total conformers, length distribution, clustering threshold, and train/val/test counts — fill from prepare_data.py output.]</w:t>
      </w:r>
    </w:p>
    <w:p>
      <w:pPr>
        <w:pStyle w:val="Heading2"/>
      </w:pPr>
      <w:r>
        <w:t>3.7 Evaluation metrics</w:t>
      </w:r>
    </w:p>
    <w:p>
      <w:pPr>
        <w:spacing w:after="120"/>
      </w:pPr>
      <w:r>
        <w:t>We report (i) per-residue (φ, ψ) Jensen–Shannon divergence between generated and reference ensembles on a shared 2-D angle grid; (ii) 1-Wasserstein distances between generated and reference distributions of radius of gyration, end-to-end distance, and asphericity, since IDP behaviour is defined by ensemble spread rather than means; (iii) ensemble diversity as the mean pairwise circular distance, reported alongside fidelity so the regularizer's trade-off is explicit; and (iv) reduced χ² against experimental SAXS profiles and NMR chemical shifts, computed from ensemble-averaged forward predictions on held-out proteins.</w:t>
      </w:r>
    </w:p>
    <w:p>
      <w:pPr>
        <w:pStyle w:val="Heading1"/>
      </w:pPr>
      <w:r>
        <w:t>4. Results</w:t>
      </w:r>
    </w:p>
    <w:p>
      <w:pPr>
        <w:pStyle w:val="Heading2"/>
      </w:pPr>
      <w:r>
        <w:t>4.1 The regularizer's effect on ensemble fidelity (central result)</w:t>
      </w:r>
    </w:p>
    <w:p>
      <w:r>
        <w:rPr>
          <w:b/>
          <w:color w:val="B00000"/>
        </w:rPr>
        <w:t>[RESULT: with vs without regularization on held-out proteins. Report per-residue JSD (mean/median), observable Wasserstein distances, and the fidelity/diversity trade-off. State plainly whether the regularizer helps, by how much, and what diversity is sacrificed. Source: runs/with_reg/eval.json vs runs/without_reg/eval.json.]</w:t>
      </w:r>
    </w:p>
    <w:p>
      <w:r>
        <w:rPr>
          <w:i/>
          <w:sz w:val="20"/>
        </w:rPr>
        <w:t>Table 1. Held-out fidelity, with vs without Ramachandran regularization.</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20"/>
              </w:rPr>
              <w:t>Metric</w:t>
            </w:r>
          </w:p>
        </w:tc>
        <w:tc>
          <w:tcPr>
            <w:tcW w:type="dxa" w:w="2160"/>
          </w:tcPr>
          <w:p>
            <w:r>
              <w:rPr>
                <w:b/>
                <w:sz w:val="20"/>
              </w:rPr>
              <w:t>Without reg</w:t>
            </w:r>
          </w:p>
        </w:tc>
        <w:tc>
          <w:tcPr>
            <w:tcW w:type="dxa" w:w="2160"/>
          </w:tcPr>
          <w:p>
            <w:r>
              <w:rPr>
                <w:b/>
                <w:sz w:val="20"/>
              </w:rPr>
              <w:t>With reg</w:t>
            </w:r>
          </w:p>
        </w:tc>
        <w:tc>
          <w:tcPr>
            <w:tcW w:type="dxa" w:w="2160"/>
          </w:tcPr>
          <w:p>
            <w:r>
              <w:rPr>
                <w:b/>
                <w:sz w:val="20"/>
              </w:rPr>
              <w:t>Stat. coil</w:t>
            </w:r>
          </w:p>
        </w:tc>
      </w:tr>
      <w:tr>
        <w:tc>
          <w:tcPr>
            <w:tcW w:type="dxa" w:w="2160"/>
          </w:tcPr>
          <w:p>
            <w:r>
              <w:t>Per-residue JSD (↓)</w:t>
            </w:r>
          </w:p>
        </w:tc>
        <w:tc>
          <w:tcPr>
            <w:tcW w:type="dxa" w:w="2160"/>
          </w:tcPr>
          <w:p>
            <w:r>
              <w:rPr>
                <w:color w:val="B00000"/>
              </w:rPr>
              <w:t>[ ]</w:t>
            </w:r>
          </w:p>
        </w:tc>
        <w:tc>
          <w:tcPr>
            <w:tcW w:type="dxa" w:w="2160"/>
          </w:tcPr>
          <w:p>
            <w:r>
              <w:rPr>
                <w:color w:val="B00000"/>
              </w:rPr>
              <w:t>[ ]</w:t>
            </w:r>
          </w:p>
        </w:tc>
        <w:tc>
          <w:tcPr>
            <w:tcW w:type="dxa" w:w="2160"/>
          </w:tcPr>
          <w:p>
            <w:r>
              <w:rPr>
                <w:color w:val="B00000"/>
              </w:rPr>
              <w:t>[ ]</w:t>
            </w:r>
          </w:p>
        </w:tc>
      </w:tr>
      <w:tr>
        <w:tc>
          <w:tcPr>
            <w:tcW w:type="dxa" w:w="2160"/>
          </w:tcPr>
          <w:p>
            <w:r>
              <w:t>Rg Wasserstein, Å (↓)</w:t>
            </w:r>
          </w:p>
        </w:tc>
        <w:tc>
          <w:tcPr>
            <w:tcW w:type="dxa" w:w="2160"/>
          </w:tcPr>
          <w:p>
            <w:r>
              <w:rPr>
                <w:color w:val="B00000"/>
              </w:rPr>
              <w:t>[ ]</w:t>
            </w:r>
          </w:p>
        </w:tc>
        <w:tc>
          <w:tcPr>
            <w:tcW w:type="dxa" w:w="2160"/>
          </w:tcPr>
          <w:p>
            <w:r>
              <w:rPr>
                <w:color w:val="B00000"/>
              </w:rPr>
              <w:t>[ ]</w:t>
            </w:r>
          </w:p>
        </w:tc>
        <w:tc>
          <w:tcPr>
            <w:tcW w:type="dxa" w:w="2160"/>
          </w:tcPr>
          <w:p>
            <w:r>
              <w:rPr>
                <w:color w:val="B00000"/>
              </w:rPr>
              <w:t>[ ]</w:t>
            </w:r>
          </w:p>
        </w:tc>
      </w:tr>
      <w:tr>
        <w:tc>
          <w:tcPr>
            <w:tcW w:type="dxa" w:w="2160"/>
          </w:tcPr>
          <w:p>
            <w:r>
              <w:t>Ree Wasserstein, Å (↓)</w:t>
            </w:r>
          </w:p>
        </w:tc>
        <w:tc>
          <w:tcPr>
            <w:tcW w:type="dxa" w:w="2160"/>
          </w:tcPr>
          <w:p>
            <w:r>
              <w:rPr>
                <w:color w:val="B00000"/>
              </w:rPr>
              <w:t>[ ]</w:t>
            </w:r>
          </w:p>
        </w:tc>
        <w:tc>
          <w:tcPr>
            <w:tcW w:type="dxa" w:w="2160"/>
          </w:tcPr>
          <w:p>
            <w:r>
              <w:rPr>
                <w:color w:val="B00000"/>
              </w:rPr>
              <w:t>[ ]</w:t>
            </w:r>
          </w:p>
        </w:tc>
        <w:tc>
          <w:tcPr>
            <w:tcW w:type="dxa" w:w="2160"/>
          </w:tcPr>
          <w:p>
            <w:r>
              <w:rPr>
                <w:color w:val="B00000"/>
              </w:rPr>
              <w:t>[ ]</w:t>
            </w:r>
          </w:p>
        </w:tc>
      </w:tr>
      <w:tr>
        <w:tc>
          <w:tcPr>
            <w:tcW w:type="dxa" w:w="2160"/>
          </w:tcPr>
          <w:p>
            <w:r>
              <w:t>Asphericity Wasserstein (↓)</w:t>
            </w:r>
          </w:p>
        </w:tc>
        <w:tc>
          <w:tcPr>
            <w:tcW w:type="dxa" w:w="2160"/>
          </w:tcPr>
          <w:p>
            <w:r>
              <w:rPr>
                <w:color w:val="B00000"/>
              </w:rPr>
              <w:t>[ ]</w:t>
            </w:r>
          </w:p>
        </w:tc>
        <w:tc>
          <w:tcPr>
            <w:tcW w:type="dxa" w:w="2160"/>
          </w:tcPr>
          <w:p>
            <w:r>
              <w:rPr>
                <w:color w:val="B00000"/>
              </w:rPr>
              <w:t>[ ]</w:t>
            </w:r>
          </w:p>
        </w:tc>
        <w:tc>
          <w:tcPr>
            <w:tcW w:type="dxa" w:w="2160"/>
          </w:tcPr>
          <w:p>
            <w:r>
              <w:rPr>
                <w:color w:val="B00000"/>
              </w:rPr>
              <w:t>[ ]</w:t>
            </w:r>
          </w:p>
        </w:tc>
      </w:tr>
      <w:tr>
        <w:tc>
          <w:tcPr>
            <w:tcW w:type="dxa" w:w="2160"/>
          </w:tcPr>
          <w:p>
            <w:r>
              <w:t>Ensemble diversity</w:t>
            </w:r>
          </w:p>
        </w:tc>
        <w:tc>
          <w:tcPr>
            <w:tcW w:type="dxa" w:w="2160"/>
          </w:tcPr>
          <w:p>
            <w:r>
              <w:rPr>
                <w:color w:val="B00000"/>
              </w:rPr>
              <w:t>[ ]</w:t>
            </w:r>
          </w:p>
        </w:tc>
        <w:tc>
          <w:tcPr>
            <w:tcW w:type="dxa" w:w="2160"/>
          </w:tcPr>
          <w:p>
            <w:r>
              <w:rPr>
                <w:color w:val="B00000"/>
              </w:rPr>
              <w:t>[ ]</w:t>
            </w:r>
          </w:p>
        </w:tc>
        <w:tc>
          <w:tcPr>
            <w:tcW w:type="dxa" w:w="2160"/>
          </w:tcPr>
          <w:p>
            <w:r>
              <w:rPr>
                <w:color w:val="B00000"/>
              </w:rPr>
              <w:t>[ ]</w:t>
            </w:r>
          </w:p>
        </w:tc>
      </w:tr>
      <w:tr>
        <w:tc>
          <w:tcPr>
            <w:tcW w:type="dxa" w:w="2160"/>
          </w:tcPr>
          <w:p>
            <w:r>
              <w:t>CA–CA clash rate (↓)</w:t>
            </w:r>
          </w:p>
        </w:tc>
        <w:tc>
          <w:tcPr>
            <w:tcW w:type="dxa" w:w="2160"/>
          </w:tcPr>
          <w:p>
            <w:r>
              <w:rPr>
                <w:color w:val="B00000"/>
              </w:rPr>
              <w:t>[ ]</w:t>
            </w:r>
          </w:p>
        </w:tc>
        <w:tc>
          <w:tcPr>
            <w:tcW w:type="dxa" w:w="2160"/>
          </w:tcPr>
          <w:p>
            <w:r>
              <w:rPr>
                <w:color w:val="B00000"/>
              </w:rPr>
              <w:t>[ ]</w:t>
            </w:r>
          </w:p>
        </w:tc>
        <w:tc>
          <w:tcPr>
            <w:tcW w:type="dxa" w:w="2160"/>
          </w:tcPr>
          <w:p>
            <w:r>
              <w:rPr>
                <w:color w:val="B00000"/>
              </w:rPr>
              <w:t>[ ]</w:t>
            </w:r>
          </w:p>
        </w:tc>
      </w:tr>
    </w:tbl>
    <w:p/>
    <w:p>
      <w:pPr>
        <w:pStyle w:val="Heading2"/>
      </w:pPr>
      <w:r>
        <w:t>4.2 Comparison to baselines</w:t>
      </w:r>
    </w:p>
    <w:p>
      <w:r>
        <w:rPr>
          <w:b/>
          <w:color w:val="B00000"/>
        </w:rPr>
        <w:t>[RESULT: model vs statistical-coil null vs idpGAN on identical held-out proteins and identical metrics. The key sentence to support: the learned model beats the independent-residue null on ensemble observables, not just marginals. See docs/baselines.md for the idpGAN conversion path.]</w:t>
      </w:r>
    </w:p>
    <w:p>
      <w:pPr>
        <w:pStyle w:val="Heading2"/>
      </w:pPr>
      <w:r>
        <w:t>4.3 Agreement with experimental observables</w:t>
      </w:r>
    </w:p>
    <w:p>
      <w:r>
        <w:rPr>
          <w:b/>
          <w:color w:val="B00000"/>
        </w:rPr>
        <w:t>[RESULT: reduced χ² vs SAXS (Rg and/or full profile) and ≥1 NMR observable on held-out proteins, with and without regularization. This is the most load-bearing result for acceptance. Source: idpdiff/validation/experimental.py outputs once the external predictors are wired in.]</w:t>
      </w:r>
    </w:p>
    <w:p>
      <w:r>
        <w:rPr>
          <w:i/>
          <w:sz w:val="20"/>
        </w:rPr>
        <w:t>Table 2. Agreement with experimental data on held-out proteins (reduced χ²).</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sz w:val="20"/>
              </w:rPr>
              <w:t>Protein</w:t>
            </w:r>
          </w:p>
        </w:tc>
        <w:tc>
          <w:tcPr>
            <w:tcW w:type="dxa" w:w="1728"/>
          </w:tcPr>
          <w:p>
            <w:r>
              <w:rPr>
                <w:b/>
                <w:sz w:val="20"/>
              </w:rPr>
              <w:t>SAXS χ² (no reg)</w:t>
            </w:r>
          </w:p>
        </w:tc>
        <w:tc>
          <w:tcPr>
            <w:tcW w:type="dxa" w:w="1728"/>
          </w:tcPr>
          <w:p>
            <w:r>
              <w:rPr>
                <w:b/>
                <w:sz w:val="20"/>
              </w:rPr>
              <w:t>SAXS χ² (reg)</w:t>
            </w:r>
          </w:p>
        </w:tc>
        <w:tc>
          <w:tcPr>
            <w:tcW w:type="dxa" w:w="1728"/>
          </w:tcPr>
          <w:p>
            <w:r>
              <w:rPr>
                <w:b/>
                <w:sz w:val="20"/>
              </w:rPr>
              <w:t>NMR χ² (no reg)</w:t>
            </w:r>
          </w:p>
        </w:tc>
        <w:tc>
          <w:tcPr>
            <w:tcW w:type="dxa" w:w="1728"/>
          </w:tcPr>
          <w:p>
            <w:r>
              <w:rPr>
                <w:b/>
                <w:sz w:val="20"/>
              </w:rPr>
              <w:t>NMR χ² (reg)</w:t>
            </w:r>
          </w:p>
        </w:tc>
      </w:tr>
      <w:tr>
        <w:tc>
          <w:tcPr>
            <w:tcW w:type="dxa" w:w="1728"/>
          </w:tcPr>
          <w:p>
            <w:r>
              <w:t>[PED ID]</w:t>
            </w:r>
          </w:p>
        </w:tc>
        <w:tc>
          <w:tcPr>
            <w:tcW w:type="dxa" w:w="1728"/>
          </w:tcPr>
          <w:p>
            <w:r>
              <w:rPr>
                <w:color w:val="B00000"/>
              </w:rPr>
              <w:t>[ ]</w:t>
            </w:r>
          </w:p>
        </w:tc>
        <w:tc>
          <w:tcPr>
            <w:tcW w:type="dxa" w:w="1728"/>
          </w:tcPr>
          <w:p>
            <w:r>
              <w:rPr>
                <w:color w:val="B00000"/>
              </w:rPr>
              <w:t>[ ]</w:t>
            </w:r>
          </w:p>
        </w:tc>
        <w:tc>
          <w:tcPr>
            <w:tcW w:type="dxa" w:w="1728"/>
          </w:tcPr>
          <w:p>
            <w:r>
              <w:rPr>
                <w:color w:val="B00000"/>
              </w:rPr>
              <w:t>[ ]</w:t>
            </w:r>
          </w:p>
        </w:tc>
        <w:tc>
          <w:tcPr>
            <w:tcW w:type="dxa" w:w="1728"/>
          </w:tcPr>
          <w:p>
            <w:r>
              <w:rPr>
                <w:color w:val="B00000"/>
              </w:rPr>
              <w:t>[ ]</w:t>
            </w:r>
          </w:p>
        </w:tc>
      </w:tr>
      <w:tr>
        <w:tc>
          <w:tcPr>
            <w:tcW w:type="dxa" w:w="1728"/>
          </w:tcPr>
          <w:p>
            <w:r>
              <w:t>[PED ID]</w:t>
            </w:r>
          </w:p>
        </w:tc>
        <w:tc>
          <w:tcPr>
            <w:tcW w:type="dxa" w:w="1728"/>
          </w:tcPr>
          <w:p>
            <w:r>
              <w:rPr>
                <w:color w:val="B00000"/>
              </w:rPr>
              <w:t>[ ]</w:t>
            </w:r>
          </w:p>
        </w:tc>
        <w:tc>
          <w:tcPr>
            <w:tcW w:type="dxa" w:w="1728"/>
          </w:tcPr>
          <w:p>
            <w:r>
              <w:rPr>
                <w:color w:val="B00000"/>
              </w:rPr>
              <w:t>[ ]</w:t>
            </w:r>
          </w:p>
        </w:tc>
        <w:tc>
          <w:tcPr>
            <w:tcW w:type="dxa" w:w="1728"/>
          </w:tcPr>
          <w:p>
            <w:r>
              <w:rPr>
                <w:color w:val="B00000"/>
              </w:rPr>
              <w:t>[ ]</w:t>
            </w:r>
          </w:p>
        </w:tc>
        <w:tc>
          <w:tcPr>
            <w:tcW w:type="dxa" w:w="1728"/>
          </w:tcPr>
          <w:p>
            <w:r>
              <w:rPr>
                <w:color w:val="B00000"/>
              </w:rPr>
              <w:t>[ ]</w:t>
            </w:r>
          </w:p>
        </w:tc>
      </w:tr>
      <w:tr>
        <w:tc>
          <w:tcPr>
            <w:tcW w:type="dxa" w:w="1728"/>
          </w:tcPr>
          <w:p>
            <w:r>
              <w:t>[PED ID]</w:t>
            </w:r>
          </w:p>
        </w:tc>
        <w:tc>
          <w:tcPr>
            <w:tcW w:type="dxa" w:w="1728"/>
          </w:tcPr>
          <w:p>
            <w:r>
              <w:rPr>
                <w:color w:val="B00000"/>
              </w:rPr>
              <w:t>[ ]</w:t>
            </w:r>
          </w:p>
        </w:tc>
        <w:tc>
          <w:tcPr>
            <w:tcW w:type="dxa" w:w="1728"/>
          </w:tcPr>
          <w:p>
            <w:r>
              <w:rPr>
                <w:color w:val="B00000"/>
              </w:rPr>
              <w:t>[ ]</w:t>
            </w:r>
          </w:p>
        </w:tc>
        <w:tc>
          <w:tcPr>
            <w:tcW w:type="dxa" w:w="1728"/>
          </w:tcPr>
          <w:p>
            <w:r>
              <w:rPr>
                <w:color w:val="B00000"/>
              </w:rPr>
              <w:t>[ ]</w:t>
            </w:r>
          </w:p>
        </w:tc>
        <w:tc>
          <w:tcPr>
            <w:tcW w:type="dxa" w:w="1728"/>
          </w:tcPr>
          <w:p>
            <w:r>
              <w:rPr>
                <w:color w:val="B00000"/>
              </w:rPr>
              <w:t>[ ]</w:t>
            </w:r>
          </w:p>
        </w:tc>
      </w:tr>
      <w:tr>
        <w:tc>
          <w:tcPr>
            <w:tcW w:type="dxa" w:w="1728"/>
          </w:tcPr>
          <w:p>
            <w:r>
              <w:t>Mean</w:t>
            </w:r>
          </w:p>
        </w:tc>
        <w:tc>
          <w:tcPr>
            <w:tcW w:type="dxa" w:w="1728"/>
          </w:tcPr>
          <w:p>
            <w:r>
              <w:rPr>
                <w:color w:val="B00000"/>
              </w:rPr>
              <w:t>[ ]</w:t>
            </w:r>
          </w:p>
        </w:tc>
        <w:tc>
          <w:tcPr>
            <w:tcW w:type="dxa" w:w="1728"/>
          </w:tcPr>
          <w:p>
            <w:r>
              <w:rPr>
                <w:color w:val="B00000"/>
              </w:rPr>
              <w:t>[ ]</w:t>
            </w:r>
          </w:p>
        </w:tc>
        <w:tc>
          <w:tcPr>
            <w:tcW w:type="dxa" w:w="1728"/>
          </w:tcPr>
          <w:p>
            <w:r>
              <w:rPr>
                <w:color w:val="B00000"/>
              </w:rPr>
              <w:t>[ ]</w:t>
            </w:r>
          </w:p>
        </w:tc>
        <w:tc>
          <w:tcPr>
            <w:tcW w:type="dxa" w:w="1728"/>
          </w:tcPr>
          <w:p>
            <w:r>
              <w:rPr>
                <w:color w:val="B00000"/>
              </w:rPr>
              <w:t>[ ]</w:t>
            </w:r>
          </w:p>
        </w:tc>
      </w:tr>
    </w:tbl>
    <w:p/>
    <w:p>
      <w:pPr>
        <w:pStyle w:val="Heading2"/>
      </w:pPr>
      <w:r>
        <w:t>4.4 Ablations and sensitivity</w:t>
      </w:r>
    </w:p>
    <w:p>
      <w:r>
        <w:rPr>
          <w:b/>
          <w:color w:val="B00000"/>
        </w:rPr>
        <w:t>[RESULT: sweep λ_max to trace the fidelity/diversity curve; sensitivity to KDE bandwidth; ESM-2 vs no-conditioning control; effect of the annealing schedule. A sequence-shuffle control (generate with shuffled sequence) demonstrates the model uses sequence information.]</w:t>
      </w:r>
    </w:p>
    <w:p>
      <w:pPr>
        <w:pStyle w:val="Heading1"/>
      </w:pPr>
      <w:r>
        <w:t>5. Discussion</w:t>
      </w:r>
    </w:p>
    <w:p>
      <w:pPr>
        <w:spacing w:after="120"/>
      </w:pPr>
      <w:r>
        <w:t>We summarise what the regularizer does and does not buy, interpret the fidelity/diversity trade-off, and discuss limitations: ESM embeddings carry less structural signal for low-complexity disordered sequences; torsion-only reconstruction does not model side chains or detect steric clashes (hence the reported clash rate); and the KDE encodes marginal, not joint or sequence-specific, angle statistics by design.</w:t>
      </w:r>
    </w:p>
    <w:p>
      <w:r>
        <w:rPr>
          <w:b/>
          <w:color w:val="B00000"/>
        </w:rPr>
        <w:t>[DISCUSSION: tie conclusions to the numbers; state the regime in which the regularizer is worthwhile and when its diversity cost is not justified.]</w:t>
      </w:r>
    </w:p>
    <w:p>
      <w:pPr>
        <w:pStyle w:val="Heading1"/>
      </w:pPr>
      <w:r>
        <w:t>6. Conclusion</w:t>
      </w:r>
    </w:p>
    <w:p>
      <w:r>
        <w:rPr>
          <w:b/>
          <w:color w:val="B00000"/>
        </w:rPr>
        <w:t>[One paragraph: the central finding about Ramachandran regularization in torsion-space IDP generation, and the most useful direction it opens.]</w:t>
      </w:r>
    </w:p>
    <w:p>
      <w:pPr>
        <w:pStyle w:val="Heading1"/>
      </w:pPr>
      <w:r>
        <w:t>Reproducibility</w:t>
      </w:r>
    </w:p>
    <w:p>
      <w:pPr>
        <w:spacing w:after="120"/>
      </w:pPr>
      <w:r>
        <w:t>Code, configuration files, and the exact run order are provided with this work (see the accompanying repository README). Data splits are made at the protein level and serialised so training and evaluation read identical data; the with- and without-regularization arms differ only in a single command-line flag (λ_max).</w:t>
      </w:r>
    </w:p>
    <w:p>
      <w:pPr>
        <w:pStyle w:val="Heading1"/>
      </w:pPr>
      <w:r>
        <w:t>References</w:t>
      </w:r>
    </w:p>
    <w:p>
      <w:r>
        <w:rPr>
          <w:b/>
          <w:color w:val="B00000"/>
        </w:rPr>
        <w:t>[REFERENCES: PED; ESM-2 (Lin et al. 2023); idpGAN (Janson et al. 2023); torsional diffusion (Jing et al. 2022); DDPM (Ho et al. 2020); cosine schedule (Nichol &amp; Dhariwal 2021); DiT/AdaLN (Peebles &amp; Xie 2023); SAXS predictor (CRYSOL / Pepsi-SAXS); NMR predictor (UCBShift / SPARTA+); statistical coil / flexible-meccano. Format to the target venue.]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