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FD" w:rsidRDefault="003E11FD" w:rsidP="003E11FD">
      <w:pPr>
        <w:spacing w:after="24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Please refer to the table below for the various child immunization and the respective charges:- </w:t>
      </w:r>
    </w:p>
    <w:tbl>
      <w:tblPr>
        <w:tblW w:w="14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556"/>
        <w:gridCol w:w="1444"/>
        <w:gridCol w:w="1392"/>
        <w:gridCol w:w="1392"/>
        <w:gridCol w:w="2281"/>
        <w:gridCol w:w="3402"/>
      </w:tblGrid>
      <w:tr w:rsidR="003E11FD" w:rsidTr="003E11FD">
        <w:trPr>
          <w:trHeight w:val="487"/>
        </w:trPr>
        <w:tc>
          <w:tcPr>
            <w:tcW w:w="1416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CHILD IMMUNISATION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of vaccine (Single dose)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Free for Singaporeans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Singaporean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Permanent Resident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Non-Resident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Medisave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Applicable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Recommended Age 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5-in-1 </w:t>
            </w:r>
          </w:p>
          <w:p w:rsidR="003E11FD" w:rsidRDefault="003E11FD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DPT+Polio+HIB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$52.50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$105.00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3 month old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4 month old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5 month old or 6-in-1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Infanrix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Hexa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(1 dose only)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Booster Dose – 18 month old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6-in-1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Infanrix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Hexa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3E11FD" w:rsidRDefault="003E11FD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DPT+Polio+HIB+Hep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B 3rd dose)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$120.00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$120.00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$120.00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Dose – 5 month old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Hepatitis 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$40.00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At Birth 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month old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month old (Not required if taken 6-in-1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Infanrix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Hexa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MMRV - Child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$99.60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$99.60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$99.60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E11FD" w:rsidRDefault="003E11FD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MMR – Child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$20.00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$40.00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12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month old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Booster Dose – 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>-17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month old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Pneumococcal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(Optional)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$152.70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$152.70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$152.70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Doses – if given at 3 months old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Doses – if given at 12 months old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Dose - if given between 24 months to 59 months old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Rotavirus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(Optional)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$99.80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$99.80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$99.80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(Singaporeans can use CDA Account)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Can be given between 6 weeks to 16 weeks old only</w:t>
            </w:r>
          </w:p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Dose – Can be given between 16 weeks to 24 weeks only </w:t>
            </w:r>
          </w:p>
        </w:tc>
      </w:tr>
      <w:tr w:rsidR="003E11FD" w:rsidTr="003E11FD">
        <w:trPr>
          <w:trHeight w:val="546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Chickenpox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(Optional)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$75.50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$75.50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$75.50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11FD" w:rsidRDefault="003E11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(Singaporeans can use CDA Account)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E11FD" w:rsidRDefault="003E11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Doses – From 12 months old onwards </w:t>
            </w:r>
          </w:p>
        </w:tc>
      </w:tr>
    </w:tbl>
    <w:p w:rsidR="003E11FD" w:rsidRDefault="003E11FD" w:rsidP="003E11FD">
      <w:pPr>
        <w:rPr>
          <w:rFonts w:ascii="Arial" w:hAnsi="Arial" w:cs="Arial"/>
          <w:sz w:val="18"/>
          <w:szCs w:val="18"/>
          <w:lang w:val="en-GB"/>
        </w:rPr>
      </w:pPr>
    </w:p>
    <w:p w:rsidR="003E11FD" w:rsidRDefault="003E11FD" w:rsidP="003E11FD">
      <w:pPr>
        <w:spacing w:after="24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It is important to follow the above schedule and </w:t>
      </w:r>
      <w:r>
        <w:rPr>
          <w:rFonts w:ascii="Arial" w:hAnsi="Arial" w:cs="Arial"/>
          <w:sz w:val="18"/>
          <w:szCs w:val="18"/>
        </w:rPr>
        <w:t>complete the full course of immunization to ensure that your child has full immunity against the listed diseases</w:t>
      </w:r>
      <w:r>
        <w:rPr>
          <w:rFonts w:ascii="Arial" w:hAnsi="Arial" w:cs="Arial"/>
          <w:sz w:val="18"/>
          <w:szCs w:val="18"/>
          <w:lang w:val="en-GB"/>
        </w:rPr>
        <w:t xml:space="preserve">. Immunization can be given slightly later but not earlier if the child is unable to attend to the scheduled appointment. </w:t>
      </w:r>
    </w:p>
    <w:p w:rsidR="003E11FD" w:rsidRDefault="003E11FD" w:rsidP="003E11FD">
      <w:pPr>
        <w:spacing w:after="24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Kindly note that the child must be well to receive the immunization. </w:t>
      </w:r>
      <w:r>
        <w:rPr>
          <w:rFonts w:ascii="Arial" w:hAnsi="Arial" w:cs="Arial"/>
          <w:sz w:val="18"/>
          <w:szCs w:val="18"/>
        </w:rPr>
        <w:t>Where possible, you should have your child immunized at the same clinic.</w:t>
      </w:r>
    </w:p>
    <w:p w:rsidR="003E11FD" w:rsidRDefault="003E11FD" w:rsidP="003E11FD">
      <w:pPr>
        <w:spacing w:after="24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Should you wish to have your child's vaccination carried out in our polyclinics, please contact us at </w:t>
      </w:r>
      <w:r>
        <w:rPr>
          <w:rFonts w:ascii="Arial" w:hAnsi="Arial" w:cs="Arial"/>
          <w:b/>
          <w:bCs/>
          <w:sz w:val="18"/>
          <w:szCs w:val="18"/>
          <w:lang w:val="en-GB"/>
        </w:rPr>
        <w:t xml:space="preserve">6355 </w:t>
      </w:r>
      <w:proofErr w:type="gramStart"/>
      <w:r>
        <w:rPr>
          <w:rFonts w:ascii="Arial" w:hAnsi="Arial" w:cs="Arial"/>
          <w:b/>
          <w:bCs/>
          <w:sz w:val="18"/>
          <w:szCs w:val="18"/>
          <w:lang w:val="en-GB"/>
        </w:rPr>
        <w:t>3000</w:t>
      </w:r>
      <w:r>
        <w:rPr>
          <w:rFonts w:ascii="Arial" w:hAnsi="Arial" w:cs="Arial"/>
          <w:sz w:val="18"/>
          <w:szCs w:val="18"/>
          <w:lang w:val="en-GB"/>
        </w:rPr>
        <w:t>.</w:t>
      </w:r>
      <w:proofErr w:type="gramEnd"/>
    </w:p>
    <w:p w:rsidR="003E11FD" w:rsidRDefault="003E11FD" w:rsidP="003E11FD">
      <w:pPr>
        <w:rPr>
          <w:rFonts w:ascii="Arial" w:hAnsi="Arial" w:cstheme="minorBidi"/>
          <w:color w:val="000000" w:themeColor="text1"/>
          <w:sz w:val="18"/>
        </w:rPr>
      </w:pPr>
    </w:p>
    <w:p w:rsidR="005F76F7" w:rsidRDefault="005F76F7">
      <w:bookmarkStart w:id="0" w:name="_GoBack"/>
      <w:bookmarkEnd w:id="0"/>
    </w:p>
    <w:sectPr w:rsidR="005F76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FD"/>
    <w:rsid w:val="003E11FD"/>
    <w:rsid w:val="005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C5E61-C34E-46E9-9287-9EC4C3F2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FD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Sazlinda Binte Zaenal</dc:creator>
  <cp:keywords/>
  <dc:description/>
  <cp:lastModifiedBy>Sazlinda Binte Zaenal</cp:lastModifiedBy>
  <cp:revision>1</cp:revision>
  <dcterms:created xsi:type="dcterms:W3CDTF">2019-05-24T08:37:00Z</dcterms:created>
  <dcterms:modified xsi:type="dcterms:W3CDTF">2019-05-24T08:38:00Z</dcterms:modified>
</cp:coreProperties>
</file>