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bidi w:val="1"/>
      </w:pPr>
      <w:r>
        <w:rPr>
          <w:b/>
          <w:color w:val="1F4E79"/>
          <w:sz w:val="40"/>
          <w:rtl w:val="1"/>
        </w:rPr>
        <w:t>دليل المراجعة الشامل والكلمات المفتاحية لاختبار</w:t>
        <w:br/>
      </w:r>
      <w:r>
        <w:rPr>
          <w:b/>
          <w:color w:val="2F5597"/>
          <w:sz w:val="36"/>
          <w:rtl w:val="1"/>
        </w:rPr>
        <w:t>AWS Certified Cloud Practitioner (CLF-C02)</w:t>
      </w:r>
    </w:p>
    <w:p>
      <w:pPr>
        <w:spacing w:after="480"/>
        <w:jc w:val="center"/>
        <w:bidi w:val="1"/>
      </w:pPr>
      <w:r>
        <w:rPr>
          <w:i/>
          <w:color w:val="595959"/>
          <w:sz w:val="24"/>
          <w:rtl w:val="1"/>
        </w:rPr>
        <w:t>ملخص المذاكرة السريعة والكلمات الدلالية المجهزة للامتحان النهائي</w:t>
      </w:r>
    </w:p>
    <w:p>
      <w:r>
        <w:br w:type="page"/>
      </w:r>
    </w:p>
    <w:p>
      <w:pPr>
        <w:keepNext/>
        <w:spacing w:before="360" w:after="120"/>
        <w:jc w:val="right"/>
        <w:bidi w:val="1"/>
        <w:pBdr>
          <w:bottom w:val="single" w:sz="12" w:space="4" w:color="1F4E79"/>
        </w:pBdr>
      </w:pPr>
      <w:r>
        <w:rPr>
          <w:rFonts w:ascii="Calibri" w:hAnsi="Calibri"/>
          <w:b/>
          <w:color w:val="1F4E79"/>
          <w:sz w:val="32"/>
          <w:rtl w:val="1"/>
        </w:rPr>
        <w:t>1. نظرة عامة على الاختبار واستراتيجية المذاكرة</w:t>
      </w:r>
    </w:p>
    <w:p>
      <w:pPr>
        <w:spacing w:before="0" w:after="120" w:line="276" w:lineRule="auto"/>
        <w:jc w:val="right"/>
        <w:bidi w:val="1"/>
      </w:pPr>
      <w:r>
        <w:rPr>
          <w:rFonts w:ascii="Calibri" w:hAnsi="Calibri"/>
          <w:b w:val="0"/>
          <w:color w:val="333333"/>
          <w:sz w:val="22"/>
          <w:rtl w:val="1"/>
        </w:rPr>
        <w:t xml:space="preserve">اختبار </w:t>
      </w:r>
      <w:r>
        <w:rPr>
          <w:rFonts w:ascii="Calibri" w:hAnsi="Calibri"/>
          <w:b/>
          <w:color w:val="1F4E79"/>
          <w:sz w:val="22"/>
          <w:rtl w:val="1"/>
        </w:rPr>
        <w:t>AWS Certified Cloud Practitioner (CLF-C02)</w:t>
      </w:r>
      <w:r>
        <w:rPr>
          <w:rFonts w:ascii="Calibri" w:hAnsi="Calibri"/>
          <w:b w:val="0"/>
          <w:color w:val="333333"/>
          <w:sz w:val="22"/>
          <w:rtl w:val="1"/>
        </w:rPr>
        <w:t xml:space="preserve"> هو أول شهادة في مسار AWS ويعتبر اختباراً تأسيسياً يغطي المفاهيم العامة للسحابة والخدمات والفوائد والأمن والفوترة والدعم. يتكون الاختبار من </w:t>
      </w:r>
      <w:r>
        <w:rPr>
          <w:rFonts w:ascii="Calibri" w:hAnsi="Calibri"/>
          <w:b/>
          <w:color w:val="1F4E79"/>
          <w:sz w:val="22"/>
          <w:rtl w:val="1"/>
        </w:rPr>
        <w:t>65 سؤالاً</w:t>
      </w:r>
      <w:r>
        <w:rPr>
          <w:rFonts w:ascii="Calibri" w:hAnsi="Calibri"/>
          <w:b w:val="0"/>
          <w:color w:val="333333"/>
          <w:sz w:val="22"/>
          <w:rtl w:val="1"/>
        </w:rPr>
        <w:t xml:space="preserve"> (متعدد الخيارات أو متعدد الإجابات) ويجب إتمامه في </w:t>
      </w:r>
      <w:r>
        <w:rPr>
          <w:rFonts w:ascii="Calibri" w:hAnsi="Calibri"/>
          <w:b/>
          <w:color w:val="1F4E79"/>
          <w:sz w:val="22"/>
          <w:rtl w:val="1"/>
        </w:rPr>
        <w:t>90 دقيقة</w:t>
      </w:r>
      <w:r>
        <w:rPr>
          <w:rFonts w:ascii="Calibri" w:hAnsi="Calibri"/>
          <w:b w:val="0"/>
          <w:color w:val="333333"/>
          <w:sz w:val="22"/>
          <w:rtl w:val="1"/>
        </w:rPr>
        <w:t xml:space="preserve">. درجة النجاح هي </w:t>
      </w:r>
      <w:r>
        <w:rPr>
          <w:rFonts w:ascii="Calibri" w:hAnsi="Calibri"/>
          <w:b/>
          <w:color w:val="1F4E79"/>
          <w:sz w:val="22"/>
          <w:rtl w:val="1"/>
        </w:rPr>
        <w:t>700 من 1000</w:t>
      </w:r>
      <w:r>
        <w:rPr>
          <w:rFonts w:ascii="Calibri" w:hAnsi="Calibri"/>
          <w:b w:val="0"/>
          <w:color w:val="333333"/>
          <w:sz w:val="22"/>
          <w:rtl w:val="1"/>
        </w:rPr>
        <w:t>.</w:t>
      </w:r>
    </w:p>
    <w:p>
      <w:pPr>
        <w:spacing w:before="0" w:after="120" w:line="276" w:lineRule="auto"/>
        <w:jc w:val="right"/>
        <w:bidi w:val="1"/>
      </w:pPr>
      <w:r>
        <w:rPr>
          <w:rFonts w:ascii="Calibri" w:hAnsi="Calibri"/>
          <w:b w:val="0"/>
          <w:color w:val="333333"/>
          <w:sz w:val="22"/>
          <w:rtl w:val="1"/>
        </w:rPr>
        <w:t>ينقسم المنهج الدراسي إلى أربعة محاور رئيسية:</w:t>
      </w:r>
    </w:p>
    <w:p>
      <w:pPr>
        <w:pStyle w:val="ListBullet"/>
        <w:spacing w:before="0" w:after="120" w:line="276" w:lineRule="auto"/>
        <w:jc w:val="right"/>
        <w:bidi w:val="1"/>
      </w:pPr>
      <w:r>
        <w:rPr>
          <w:rFonts w:ascii="Calibri" w:hAnsi="Calibri"/>
          <w:b w:val="0"/>
          <w:color w:val="333333"/>
          <w:sz w:val="22"/>
          <w:rtl w:val="1"/>
        </w:rPr>
        <w:t xml:space="preserve">1. </w:t>
      </w:r>
      <w:r>
        <w:rPr>
          <w:rFonts w:ascii="Calibri" w:hAnsi="Calibri"/>
          <w:b/>
          <w:color w:val="1F4E79"/>
          <w:sz w:val="22"/>
          <w:rtl w:val="1"/>
        </w:rPr>
        <w:t>المفاهيم السحابية (Cloud Concepts)</w:t>
      </w:r>
      <w:r>
        <w:rPr>
          <w:rFonts w:ascii="Calibri" w:hAnsi="Calibri"/>
          <w:b w:val="0"/>
          <w:color w:val="333333"/>
          <w:sz w:val="22"/>
          <w:rtl w:val="1"/>
        </w:rPr>
        <w:t xml:space="preserve"> بنسبة </w:t>
      </w:r>
      <w:r>
        <w:rPr>
          <w:rFonts w:ascii="Calibri" w:hAnsi="Calibri"/>
          <w:b/>
          <w:color w:val="1F4E79"/>
          <w:sz w:val="22"/>
          <w:rtl w:val="1"/>
        </w:rPr>
        <w:t>24%</w:t>
      </w:r>
      <w:r>
        <w:rPr>
          <w:rFonts w:ascii="Calibri" w:hAnsi="Calibri"/>
          <w:b w:val="0"/>
          <w:color w:val="333333"/>
          <w:sz w:val="22"/>
          <w:rtl w:val="1"/>
        </w:rPr>
        <w:t xml:space="preserve"> من أسئلة الاختبار.</w:t>
      </w:r>
    </w:p>
    <w:p>
      <w:pPr>
        <w:pStyle w:val="ListBullet"/>
        <w:spacing w:before="0" w:after="120" w:line="276" w:lineRule="auto"/>
        <w:jc w:val="right"/>
        <w:bidi w:val="1"/>
      </w:pPr>
      <w:r>
        <w:rPr>
          <w:rFonts w:ascii="Calibri" w:hAnsi="Calibri"/>
          <w:b w:val="0"/>
          <w:color w:val="333333"/>
          <w:sz w:val="22"/>
          <w:rtl w:val="1"/>
        </w:rPr>
        <w:t xml:space="preserve">2. </w:t>
      </w:r>
      <w:r>
        <w:rPr>
          <w:rFonts w:ascii="Calibri" w:hAnsi="Calibri"/>
          <w:b/>
          <w:color w:val="1F4E79"/>
          <w:sz w:val="22"/>
          <w:rtl w:val="1"/>
        </w:rPr>
        <w:t>الأمن والامتثال (Security and Compliance)</w:t>
      </w:r>
      <w:r>
        <w:rPr>
          <w:rFonts w:ascii="Calibri" w:hAnsi="Calibri"/>
          <w:b w:val="0"/>
          <w:color w:val="333333"/>
          <w:sz w:val="22"/>
          <w:rtl w:val="1"/>
        </w:rPr>
        <w:t xml:space="preserve"> بنسبة </w:t>
      </w:r>
      <w:r>
        <w:rPr>
          <w:rFonts w:ascii="Calibri" w:hAnsi="Calibri"/>
          <w:b/>
          <w:color w:val="1F4E79"/>
          <w:sz w:val="22"/>
          <w:rtl w:val="1"/>
        </w:rPr>
        <w:t>30%</w:t>
      </w:r>
      <w:r>
        <w:rPr>
          <w:rFonts w:ascii="Calibri" w:hAnsi="Calibri"/>
          <w:b w:val="0"/>
          <w:color w:val="333333"/>
          <w:sz w:val="22"/>
          <w:rtl w:val="1"/>
        </w:rPr>
        <w:t xml:space="preserve"> من أسئلة الاختبار.</w:t>
      </w:r>
    </w:p>
    <w:p>
      <w:pPr>
        <w:pStyle w:val="ListBullet"/>
        <w:spacing w:before="0" w:after="120" w:line="276" w:lineRule="auto"/>
        <w:jc w:val="right"/>
        <w:bidi w:val="1"/>
      </w:pPr>
      <w:r>
        <w:rPr>
          <w:rFonts w:ascii="Calibri" w:hAnsi="Calibri"/>
          <w:b w:val="0"/>
          <w:color w:val="333333"/>
          <w:sz w:val="22"/>
          <w:rtl w:val="1"/>
        </w:rPr>
        <w:t xml:space="preserve">3. </w:t>
      </w:r>
      <w:r>
        <w:rPr>
          <w:rFonts w:ascii="Calibri" w:hAnsi="Calibri"/>
          <w:b/>
          <w:color w:val="1F4E79"/>
          <w:sz w:val="22"/>
          <w:rtl w:val="1"/>
        </w:rPr>
        <w:t>التكنولوجيا والخدمات السحابية (Cloud Technology &amp; Services)</w:t>
      </w:r>
      <w:r>
        <w:rPr>
          <w:rFonts w:ascii="Calibri" w:hAnsi="Calibri"/>
          <w:b w:val="0"/>
          <w:color w:val="333333"/>
          <w:sz w:val="22"/>
          <w:rtl w:val="1"/>
        </w:rPr>
        <w:t xml:space="preserve"> بنسبة </w:t>
      </w:r>
      <w:r>
        <w:rPr>
          <w:rFonts w:ascii="Calibri" w:hAnsi="Calibri"/>
          <w:b/>
          <w:color w:val="1F4E79"/>
          <w:sz w:val="22"/>
          <w:rtl w:val="1"/>
        </w:rPr>
        <w:t>34%</w:t>
      </w:r>
      <w:r>
        <w:rPr>
          <w:rFonts w:ascii="Calibri" w:hAnsi="Calibri"/>
          <w:b w:val="0"/>
          <w:color w:val="333333"/>
          <w:sz w:val="22"/>
          <w:rtl w:val="1"/>
        </w:rPr>
        <w:t xml:space="preserve"> من أسئلة الاختبار.</w:t>
      </w:r>
    </w:p>
    <w:p>
      <w:pPr>
        <w:pStyle w:val="ListBullet"/>
        <w:spacing w:before="0" w:after="120" w:line="276" w:lineRule="auto"/>
        <w:jc w:val="right"/>
        <w:bidi w:val="1"/>
      </w:pPr>
      <w:r>
        <w:rPr>
          <w:rFonts w:ascii="Calibri" w:hAnsi="Calibri"/>
          <w:b w:val="0"/>
          <w:color w:val="333333"/>
          <w:sz w:val="22"/>
          <w:rtl w:val="1"/>
        </w:rPr>
        <w:t xml:space="preserve">4. </w:t>
      </w:r>
      <w:r>
        <w:rPr>
          <w:rFonts w:ascii="Calibri" w:hAnsi="Calibri"/>
          <w:b/>
          <w:color w:val="1F4E79"/>
          <w:sz w:val="22"/>
          <w:rtl w:val="1"/>
        </w:rPr>
        <w:t>الفوترة والتسعير والدعم (Billing, Pricing, and Support)</w:t>
      </w:r>
      <w:r>
        <w:rPr>
          <w:rFonts w:ascii="Calibri" w:hAnsi="Calibri"/>
          <w:b w:val="0"/>
          <w:color w:val="333333"/>
          <w:sz w:val="22"/>
          <w:rtl w:val="1"/>
        </w:rPr>
        <w:t xml:space="preserve"> بنسبة </w:t>
      </w:r>
      <w:r>
        <w:rPr>
          <w:rFonts w:ascii="Calibri" w:hAnsi="Calibri"/>
          <w:b/>
          <w:color w:val="1F4E79"/>
          <w:sz w:val="22"/>
          <w:rtl w:val="1"/>
        </w:rPr>
        <w:t>12%</w:t>
      </w:r>
      <w:r>
        <w:rPr>
          <w:rFonts w:ascii="Calibri" w:hAnsi="Calibri"/>
          <w:b w:val="0"/>
          <w:color w:val="333333"/>
          <w:sz w:val="22"/>
          <w:rtl w:val="1"/>
        </w:rPr>
        <w:t xml:space="preserve"> من أسئلة الاختبار.</w:t>
      </w:r>
    </w:p>
    <w:p>
      <w:pPr>
        <w:spacing w:before="0" w:after="120" w:line="276" w:lineRule="auto"/>
        <w:jc w:val="right"/>
        <w:bidi w:val="1"/>
      </w:pPr>
      <w:r>
        <w:rPr>
          <w:rFonts w:ascii="Calibri" w:hAnsi="Calibri"/>
          <w:b w:val="0"/>
          <w:color w:val="333333"/>
          <w:sz w:val="22"/>
          <w:rtl w:val="1"/>
        </w:rPr>
        <w:t xml:space="preserve">💡 </w:t>
      </w:r>
      <w:r>
        <w:rPr>
          <w:rFonts w:ascii="Calibri" w:hAnsi="Calibri"/>
          <w:b/>
          <w:color w:val="1F4E79"/>
          <w:sz w:val="22"/>
          <w:rtl w:val="1"/>
        </w:rPr>
        <w:t>كيف تذاكر للامتحان؟</w:t>
      </w:r>
      <w:r>
        <w:rPr>
          <w:rFonts w:ascii="Calibri" w:hAnsi="Calibri"/>
          <w:b w:val="0"/>
          <w:color w:val="333333"/>
          <w:sz w:val="22"/>
          <w:rtl w:val="1"/>
        </w:rPr>
        <w:t xml:space="preserve"> يعتمد الاختبار بشكل كبير على </w:t>
      </w:r>
      <w:r>
        <w:rPr>
          <w:rFonts w:ascii="Calibri" w:hAnsi="Calibri"/>
          <w:b/>
          <w:color w:val="1F4E79"/>
          <w:sz w:val="22"/>
          <w:rtl w:val="1"/>
        </w:rPr>
        <w:t>الكلمات المفتاحية (Keywords)</w:t>
      </w:r>
      <w:r>
        <w:rPr>
          <w:rFonts w:ascii="Calibri" w:hAnsi="Calibri"/>
          <w:b w:val="0"/>
          <w:color w:val="333333"/>
          <w:sz w:val="22"/>
          <w:rtl w:val="1"/>
        </w:rPr>
        <w:t>. سيعطيك السؤال سيناريو ويطلب منك تحديد الخدمة المناسبة. في هذا الدليل قمنا بتلخيص كل خدمة مع الكلمات التي بمجرد رؤيتها في السؤال، يمكنك تحديد الإجابة الصحيحة فوراً.</w:t>
      </w:r>
    </w:p>
    <w:p>
      <w:pPr>
        <w:keepNext/>
        <w:spacing w:before="360" w:after="120"/>
        <w:jc w:val="right"/>
        <w:bidi w:val="1"/>
        <w:pBdr>
          <w:bottom w:val="single" w:sz="12" w:space="4" w:color="1F4E79"/>
        </w:pBdr>
      </w:pPr>
      <w:r>
        <w:rPr>
          <w:rFonts w:ascii="Calibri" w:hAnsi="Calibri"/>
          <w:b/>
          <w:color w:val="1F4E79"/>
          <w:sz w:val="32"/>
          <w:rtl w:val="1"/>
        </w:rPr>
        <w:t>2. المفاهيم الأساسية للحوسبة السحابية (Cloud Concepts)</w:t>
      </w:r>
    </w:p>
    <w:p>
      <w:pPr>
        <w:spacing w:before="0" w:after="120" w:line="276" w:lineRule="auto"/>
        <w:jc w:val="right"/>
        <w:bidi w:val="1"/>
      </w:pPr>
      <w:r>
        <w:rPr>
          <w:rFonts w:ascii="Calibri" w:hAnsi="Calibri"/>
          <w:b w:val="0"/>
          <w:color w:val="333333"/>
          <w:sz w:val="22"/>
          <w:rtl w:val="1"/>
        </w:rPr>
        <w:t>تمثل الحوسبة السحابية تقديم موارد تكنولوجيا المعلومات حسب الطلب عبر الإنترنت مع تسعير قائم على الدفع حسب الاستخدام.</w:t>
      </w:r>
    </w:p>
    <w:p>
      <w:pPr>
        <w:keepNext/>
        <w:spacing w:before="280" w:after="80"/>
        <w:jc w:val="right"/>
        <w:bidi w:val="1"/>
      </w:pPr>
      <w:r>
        <w:rPr>
          <w:rFonts w:ascii="Calibri" w:hAnsi="Calibri"/>
          <w:b/>
          <w:color w:val="2F5597"/>
          <w:sz w:val="26"/>
          <w:rtl w:val="1"/>
        </w:rPr>
        <w:t>مزايا الحوسبة السحابية الستة (6 Advantages of Cloud Computing):</w:t>
      </w:r>
    </w:p>
    <w:p>
      <w:pPr>
        <w:spacing w:before="0" w:after="120" w:line="276" w:lineRule="auto"/>
        <w:jc w:val="right"/>
        <w:bidi w:val="1"/>
      </w:pPr>
      <w:r>
        <w:rPr>
          <w:rFonts w:ascii="Calibri" w:hAnsi="Calibri"/>
          <w:b w:val="0"/>
          <w:color w:val="333333"/>
          <w:sz w:val="22"/>
          <w:rtl w:val="1"/>
        </w:rPr>
        <w:t xml:space="preserve">• </w:t>
      </w:r>
      <w:r>
        <w:rPr>
          <w:rFonts w:ascii="Calibri" w:hAnsi="Calibri"/>
          <w:b/>
          <w:color w:val="1F4E79"/>
          <w:sz w:val="22"/>
          <w:rtl w:val="1"/>
        </w:rPr>
        <w:t>تحويل النفقات الرأسمالية لنفقات تشغيلية (Trade capital expense for variable expense)</w:t>
      </w:r>
      <w:r>
        <w:rPr>
          <w:rFonts w:ascii="Calibri" w:hAnsi="Calibri"/>
          <w:b w:val="0"/>
          <w:color w:val="333333"/>
          <w:sz w:val="22"/>
          <w:rtl w:val="1"/>
        </w:rPr>
        <w:t>: بدلاً من دفع مبالغ ضخمة مقدماً لبناء مراكز البيانات (</w:t>
      </w:r>
      <w:r>
        <w:rPr>
          <w:rFonts w:ascii="Calibri" w:hAnsi="Calibri"/>
          <w:b/>
          <w:color w:val="1F4E79"/>
          <w:sz w:val="22"/>
          <w:rtl w:val="1"/>
        </w:rPr>
        <w:t>CapEx</w:t>
      </w:r>
      <w:r>
        <w:rPr>
          <w:rFonts w:ascii="Calibri" w:hAnsi="Calibri"/>
          <w:b w:val="0"/>
          <w:color w:val="333333"/>
          <w:sz w:val="22"/>
          <w:rtl w:val="1"/>
        </w:rPr>
        <w:t>)، تدفع فقط مقابل ما تستهلكه شهرياً (</w:t>
      </w:r>
      <w:r>
        <w:rPr>
          <w:rFonts w:ascii="Calibri" w:hAnsi="Calibri"/>
          <w:b/>
          <w:color w:val="1F4E79"/>
          <w:sz w:val="22"/>
          <w:rtl w:val="1"/>
        </w:rPr>
        <w:t>OpEx</w:t>
      </w:r>
      <w:r>
        <w:rPr>
          <w:rFonts w:ascii="Calibri" w:hAnsi="Calibri"/>
          <w:b w:val="0"/>
          <w:color w:val="333333"/>
          <w:sz w:val="22"/>
          <w:rtl w:val="1"/>
        </w:rPr>
        <w:t>).</w:t>
      </w:r>
    </w:p>
    <w:p>
      <w:pPr>
        <w:spacing w:before="0" w:after="120" w:line="276" w:lineRule="auto"/>
        <w:jc w:val="right"/>
        <w:bidi w:val="1"/>
      </w:pPr>
      <w:r>
        <w:rPr>
          <w:rFonts w:ascii="Calibri" w:hAnsi="Calibri"/>
          <w:b w:val="0"/>
          <w:color w:val="333333"/>
          <w:sz w:val="22"/>
          <w:rtl w:val="1"/>
        </w:rPr>
        <w:t xml:space="preserve">• </w:t>
      </w:r>
      <w:r>
        <w:rPr>
          <w:rFonts w:ascii="Calibri" w:hAnsi="Calibri"/>
          <w:b/>
          <w:color w:val="1F4E79"/>
          <w:sz w:val="22"/>
          <w:rtl w:val="1"/>
        </w:rPr>
        <w:t>الاستفادة من وفورات الحجم الكبيرة (Benefit from massive economies of scale)</w:t>
      </w:r>
      <w:r>
        <w:rPr>
          <w:rFonts w:ascii="Calibri" w:hAnsi="Calibri"/>
          <w:b w:val="0"/>
          <w:color w:val="333333"/>
          <w:sz w:val="22"/>
          <w:rtl w:val="1"/>
        </w:rPr>
        <w:t>: بفضل آلاف المستخدمين، تستطيع AWS شراء العتاد بتكلفة أقل وتنعكس هذه التخفيضات على المستخدمين في صورة أسعار أرخص.</w:t>
      </w:r>
    </w:p>
    <w:p>
      <w:pPr>
        <w:spacing w:before="0" w:after="120" w:line="276" w:lineRule="auto"/>
        <w:jc w:val="right"/>
        <w:bidi w:val="1"/>
      </w:pPr>
      <w:r>
        <w:rPr>
          <w:rFonts w:ascii="Calibri" w:hAnsi="Calibri"/>
          <w:b w:val="0"/>
          <w:color w:val="333333"/>
          <w:sz w:val="22"/>
          <w:rtl w:val="1"/>
        </w:rPr>
        <w:t xml:space="preserve">• </w:t>
      </w:r>
      <w:r>
        <w:rPr>
          <w:rFonts w:ascii="Calibri" w:hAnsi="Calibri"/>
          <w:b/>
          <w:color w:val="1F4E79"/>
          <w:sz w:val="22"/>
          <w:rtl w:val="1"/>
        </w:rPr>
        <w:t>التوقف عن تخمين السعة (Stop guessing capacity)</w:t>
      </w:r>
      <w:r>
        <w:rPr>
          <w:rFonts w:ascii="Calibri" w:hAnsi="Calibri"/>
          <w:b w:val="0"/>
          <w:color w:val="333333"/>
          <w:sz w:val="22"/>
          <w:rtl w:val="1"/>
        </w:rPr>
        <w:t>: بدلاً من شراء سعة تخزينية أو حسابية ضخمة لا تُستخدم، يمكنك زيادة أو تقليل السعة تلقائياً حسب الطلب.</w:t>
      </w:r>
    </w:p>
    <w:p>
      <w:pPr>
        <w:spacing w:before="0" w:after="120" w:line="276" w:lineRule="auto"/>
        <w:jc w:val="right"/>
        <w:bidi w:val="1"/>
      </w:pPr>
      <w:r>
        <w:rPr>
          <w:rFonts w:ascii="Calibri" w:hAnsi="Calibri"/>
          <w:b w:val="0"/>
          <w:color w:val="333333"/>
          <w:sz w:val="22"/>
          <w:rtl w:val="1"/>
        </w:rPr>
        <w:t xml:space="preserve">• </w:t>
      </w:r>
      <w:r>
        <w:rPr>
          <w:rFonts w:ascii="Calibri" w:hAnsi="Calibri"/>
          <w:b/>
          <w:color w:val="1F4E79"/>
          <w:sz w:val="22"/>
          <w:rtl w:val="1"/>
        </w:rPr>
        <w:t>زيادة السرعة والرشاقة (Increase speed and agility)</w:t>
      </w:r>
      <w:r>
        <w:rPr>
          <w:rFonts w:ascii="Calibri" w:hAnsi="Calibri"/>
          <w:b w:val="0"/>
          <w:color w:val="333333"/>
          <w:sz w:val="22"/>
          <w:rtl w:val="1"/>
        </w:rPr>
        <w:t>: يمكنك توفير الموارد والحواسب في دقائق معدودة بدلاً من الانتظار لأسابيع لشراء وتركيب السيرفرات.</w:t>
      </w:r>
    </w:p>
    <w:p>
      <w:pPr>
        <w:spacing w:before="0" w:after="120" w:line="276" w:lineRule="auto"/>
        <w:jc w:val="right"/>
        <w:bidi w:val="1"/>
      </w:pPr>
      <w:r>
        <w:rPr>
          <w:rFonts w:ascii="Calibri" w:hAnsi="Calibri"/>
          <w:b w:val="0"/>
          <w:color w:val="333333"/>
          <w:sz w:val="22"/>
          <w:rtl w:val="1"/>
        </w:rPr>
        <w:t xml:space="preserve">• </w:t>
      </w:r>
      <w:r>
        <w:rPr>
          <w:rFonts w:ascii="Calibri" w:hAnsi="Calibri"/>
          <w:b/>
          <w:color w:val="1F4E79"/>
          <w:sz w:val="22"/>
          <w:rtl w:val="1"/>
        </w:rPr>
        <w:t>التوقف عن إنفاق الأموال على تشغيل وصيانة مراكز البيانات (Stop spending money running and maintaining data centers)</w:t>
      </w:r>
      <w:r>
        <w:rPr>
          <w:rFonts w:ascii="Calibri" w:hAnsi="Calibri"/>
          <w:b w:val="0"/>
          <w:color w:val="333333"/>
          <w:sz w:val="22"/>
          <w:rtl w:val="1"/>
        </w:rPr>
        <w:t>: التركيز على تطوير التطبيقات بدلاً من إدارة الكهرباء والتبريد والعتاد للمراكز.</w:t>
      </w:r>
    </w:p>
    <w:p>
      <w:pPr>
        <w:spacing w:before="0" w:after="120" w:line="276" w:lineRule="auto"/>
        <w:jc w:val="right"/>
        <w:bidi w:val="1"/>
      </w:pPr>
      <w:r>
        <w:rPr>
          <w:rFonts w:ascii="Calibri" w:hAnsi="Calibri"/>
          <w:b w:val="0"/>
          <w:color w:val="333333"/>
          <w:sz w:val="22"/>
          <w:rtl w:val="1"/>
        </w:rPr>
        <w:t xml:space="preserve">• </w:t>
      </w:r>
      <w:r>
        <w:rPr>
          <w:rFonts w:ascii="Calibri" w:hAnsi="Calibri"/>
          <w:b/>
          <w:color w:val="1F4E79"/>
          <w:sz w:val="22"/>
          <w:rtl w:val="1"/>
        </w:rPr>
        <w:t>الانتشار العالمي في دقائق (Go global in minutes)</w:t>
      </w:r>
      <w:r>
        <w:rPr>
          <w:rFonts w:ascii="Calibri" w:hAnsi="Calibri"/>
          <w:b w:val="0"/>
          <w:color w:val="333333"/>
          <w:sz w:val="22"/>
          <w:rtl w:val="1"/>
        </w:rPr>
        <w:t>: إمكانية نشر تطبيقك في مناطق متعددة حول العالم بضغطة زر لتقليل زمن الاستجابة (Latency) للمستخدمين.</w:t>
      </w:r>
    </w:p>
    <w:p>
      <w:pPr>
        <w:keepNext/>
        <w:spacing w:before="280" w:after="80"/>
        <w:jc w:val="right"/>
        <w:bidi w:val="1"/>
      </w:pPr>
      <w:r>
        <w:rPr>
          <w:rFonts w:ascii="Calibri" w:hAnsi="Calibri"/>
          <w:b/>
          <w:color w:val="2F5597"/>
          <w:sz w:val="26"/>
          <w:rtl w:val="1"/>
        </w:rPr>
        <w:t>المصطلحات الفنية الهامة في الاختبار:</w:t>
      </w:r>
    </w:p>
    <w:tbl>
      <w:tblPr>
        <w:tblW w:type="auto" w:w="0"/>
        <w:jc w:val="center"/>
        <w:tblLayout w:type="fixed"/>
        <w:tblLook w:firstColumn="1" w:firstRow="1" w:lastColumn="0" w:lastRow="0" w:noHBand="0" w:noVBand="1" w:val="04A0"/>
        <w:bidiVisual w:val="1"/>
      </w:tblPr>
      <w:tblGrid>
        <w:gridCol w:w="3120"/>
        <w:gridCol w:w="3120"/>
        <w:gridCol w:w="3120"/>
      </w:tblGrid>
      <w:tr>
        <w:tc>
          <w:tcPr>
            <w:tcW w:type="dxa" w:w="2520"/>
            <w:shd w:fill="1F4E79"/>
            <w:tcMar>
              <w:top w:w="120" w:type="dxa"/>
              <w:bottom w:w="120" w:type="dxa"/>
              <w:left w:w="150" w:type="dxa"/>
              <w:right w:w="150" w:type="dxa"/>
            </w:tcMar>
            <w:tcBorders>
              <w:top w:val="single" w:sz="8" w:space="0" w:color="1F4E79"/>
              <w:left w:val="single" w:sz="4" w:space="0" w:color="D3D3D3"/>
              <w:bottom w:val="single" w:sz="12" w:space="0" w:color="1F4E79"/>
              <w:right w:val="single" w:sz="4" w:space="0" w:color="D3D3D3"/>
            </w:tcBorders>
          </w:tcPr>
          <w:p>
            <w:pPr>
              <w:spacing w:before="80" w:after="80" w:line="276" w:lineRule="auto"/>
              <w:jc w:val="right"/>
              <w:bidi w:val="1"/>
            </w:pPr>
            <w:r>
              <w:rPr>
                <w:rFonts w:ascii="Calibri" w:hAnsi="Calibri"/>
                <w:b/>
                <w:color w:val="FFFFFF"/>
                <w:sz w:val="22"/>
                <w:rtl w:val="1"/>
              </w:rPr>
              <w:t>المصطلح بالإنجليزية</w:t>
            </w:r>
          </w:p>
        </w:tc>
        <w:tc>
          <w:tcPr>
            <w:tcW w:type="dxa" w:w="2880"/>
            <w:shd w:fill="1F4E79"/>
            <w:tcMar>
              <w:top w:w="120" w:type="dxa"/>
              <w:bottom w:w="120" w:type="dxa"/>
              <w:left w:w="150" w:type="dxa"/>
              <w:right w:w="150" w:type="dxa"/>
            </w:tcMar>
            <w:tcBorders>
              <w:top w:val="single" w:sz="8" w:space="0" w:color="1F4E79"/>
              <w:left w:val="single" w:sz="4" w:space="0" w:color="D3D3D3"/>
              <w:bottom w:val="single" w:sz="12" w:space="0" w:color="1F4E79"/>
              <w:right w:val="single" w:sz="4" w:space="0" w:color="D3D3D3"/>
            </w:tcBorders>
          </w:tcPr>
          <w:p>
            <w:pPr>
              <w:spacing w:before="80" w:after="80" w:line="276" w:lineRule="auto"/>
              <w:jc w:val="right"/>
              <w:bidi w:val="1"/>
            </w:pPr>
            <w:r>
              <w:rPr>
                <w:rFonts w:ascii="Calibri" w:hAnsi="Calibri"/>
                <w:b/>
                <w:color w:val="FFFFFF"/>
                <w:sz w:val="22"/>
                <w:rtl w:val="1"/>
              </w:rPr>
              <w:t>المفهوم بالعربية</w:t>
            </w:r>
          </w:p>
        </w:tc>
        <w:tc>
          <w:tcPr>
            <w:tcW w:type="dxa" w:w="3960"/>
            <w:shd w:fill="1F4E79"/>
            <w:tcMar>
              <w:top w:w="120" w:type="dxa"/>
              <w:bottom w:w="120" w:type="dxa"/>
              <w:left w:w="150" w:type="dxa"/>
              <w:right w:w="150" w:type="dxa"/>
            </w:tcMar>
            <w:tcBorders>
              <w:top w:val="single" w:sz="8" w:space="0" w:color="1F4E79"/>
              <w:left w:val="single" w:sz="4" w:space="0" w:color="D3D3D3"/>
              <w:bottom w:val="single" w:sz="12" w:space="0" w:color="1F4E79"/>
              <w:right w:val="single" w:sz="4" w:space="0" w:color="D3D3D3"/>
            </w:tcBorders>
          </w:tcPr>
          <w:p>
            <w:pPr>
              <w:spacing w:before="80" w:after="80" w:line="276" w:lineRule="auto"/>
              <w:jc w:val="right"/>
              <w:bidi w:val="1"/>
            </w:pPr>
            <w:r>
              <w:rPr>
                <w:rFonts w:ascii="Calibri" w:hAnsi="Calibri"/>
                <w:b/>
                <w:color w:val="FFFFFF"/>
                <w:sz w:val="22"/>
                <w:rtl w:val="1"/>
              </w:rPr>
              <w:t>الكلمة المفتاحية في السؤال</w:t>
            </w:r>
          </w:p>
        </w:tc>
      </w:tr>
      <w:tr>
        <w:tc>
          <w:tcPr>
            <w:tcW w:type="dxa" w:w="252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High Availability</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المرونة أو التوافرية العالية</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تشغيل النظام دون انقطاع، واستخدام مناطق توفر متعددة (</w:t>
            </w:r>
            <w:r>
              <w:rPr>
                <w:rFonts w:ascii="Calibri" w:hAnsi="Calibri"/>
                <w:b/>
                <w:color w:val="1F4E79"/>
                <w:sz w:val="19"/>
                <w:rtl w:val="1"/>
              </w:rPr>
              <w:t>Multi-AZ</w:t>
            </w:r>
            <w:r>
              <w:rPr>
                <w:rFonts w:ascii="Calibri" w:hAnsi="Calibri"/>
                <w:b w:val="0"/>
                <w:color w:val="333333"/>
                <w:sz w:val="19"/>
                <w:rtl w:val="1"/>
              </w:rPr>
              <w:t>).</w:t>
            </w:r>
          </w:p>
        </w:tc>
      </w:tr>
      <w:tr>
        <w:tc>
          <w:tcPr>
            <w:tcW w:type="dxa" w:w="252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Fault Tolerance</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تحمل الأخطاء</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قدرة النظام على مواصلة العمل حتى عند تعطل مكون بالكامل دون أي تأثير على المستخدم.</w:t>
            </w:r>
          </w:p>
        </w:tc>
      </w:tr>
      <w:tr>
        <w:tc>
          <w:tcPr>
            <w:tcW w:type="dxa" w:w="252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Scalability</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قابلة التوسع والتدرج</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قدرة النظام على التعامل مع زيادة الحمولة. ينقسم إلى توسع رأسي (تغيير الحجم) وأفقي (إضافة سيرفرات).</w:t>
            </w:r>
          </w:p>
        </w:tc>
      </w:tr>
      <w:tr>
        <w:tc>
          <w:tcPr>
            <w:tcW w:type="dxa" w:w="252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Elasticity</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المرونة الديناميكية</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المطابقة التلقائية للموارد مع حجم الطلب الفعلي (تزيد مع الضغط وتقل في أوقات الهدوء لحفظ التكلفة).</w:t>
            </w:r>
          </w:p>
        </w:tc>
      </w:tr>
      <w:tr>
        <w:tc>
          <w:tcPr>
            <w:tcW w:type="dxa" w:w="252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Agility</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الرشاقة والسرعة</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سرعة التطوير والتجربة وتقليل الوقت اللازم لإطلاق ميزات جديدة.</w:t>
            </w:r>
          </w:p>
        </w:tc>
      </w:tr>
      <w:tr>
        <w:tc>
          <w:tcPr>
            <w:tcW w:type="dxa" w:w="252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Disaster Recovery</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التعافي من الكوارث</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القدرة على استعادة النظام والبيانات بسرعة بعد وقوع كارثة طبيعية أو تقنية.</w:t>
            </w:r>
          </w:p>
        </w:tc>
      </w:tr>
    </w:tbl>
    <w:p/>
    <w:p>
      <w:pPr>
        <w:keepNext/>
        <w:spacing w:before="360" w:after="120"/>
        <w:jc w:val="right"/>
        <w:bidi w:val="1"/>
        <w:pBdr>
          <w:bottom w:val="single" w:sz="12" w:space="4" w:color="1F4E79"/>
        </w:pBdr>
      </w:pPr>
      <w:r>
        <w:rPr>
          <w:rFonts w:ascii="Calibri" w:hAnsi="Calibri"/>
          <w:b/>
          <w:color w:val="1F4E79"/>
          <w:sz w:val="32"/>
          <w:rtl w:val="1"/>
        </w:rPr>
        <w:t>3. نموذج المسؤولية المشتركة (Shared Responsibility Model)</w:t>
      </w:r>
    </w:p>
    <w:p>
      <w:pPr>
        <w:spacing w:before="0" w:after="120" w:line="276" w:lineRule="auto"/>
        <w:jc w:val="right"/>
        <w:bidi w:val="1"/>
      </w:pPr>
      <w:r>
        <w:rPr>
          <w:rFonts w:ascii="Calibri" w:hAnsi="Calibri"/>
          <w:b w:val="0"/>
          <w:color w:val="333333"/>
          <w:sz w:val="22"/>
          <w:rtl w:val="1"/>
        </w:rPr>
        <w:t>أحد الأسئلة المؤكدة في الامتحان! ينص النموذج على تقسيم حماية السحابة إلى قسمين:</w:t>
      </w:r>
    </w:p>
    <w:p>
      <w:pPr>
        <w:spacing w:before="0" w:after="120" w:line="276" w:lineRule="auto"/>
        <w:jc w:val="right"/>
        <w:bidi w:val="1"/>
      </w:pPr>
      <w:r>
        <w:rPr>
          <w:rFonts w:ascii="Calibri" w:hAnsi="Calibri"/>
          <w:b w:val="0"/>
          <w:color w:val="333333"/>
          <w:sz w:val="22"/>
          <w:rtl w:val="1"/>
        </w:rPr>
        <w:t xml:space="preserve">1. </w:t>
      </w:r>
      <w:r>
        <w:rPr>
          <w:rFonts w:ascii="Calibri" w:hAnsi="Calibri"/>
          <w:b/>
          <w:color w:val="1F4E79"/>
          <w:sz w:val="22"/>
          <w:rtl w:val="1"/>
        </w:rPr>
        <w:t>أمن السحابة (Security OF the Cloud)</w:t>
      </w:r>
      <w:r>
        <w:rPr>
          <w:rFonts w:ascii="Calibri" w:hAnsi="Calibri"/>
          <w:b w:val="0"/>
          <w:color w:val="333333"/>
          <w:sz w:val="22"/>
          <w:rtl w:val="1"/>
        </w:rPr>
        <w:t xml:space="preserve">: وهو مسؤولية </w:t>
      </w:r>
      <w:r>
        <w:rPr>
          <w:rFonts w:ascii="Calibri" w:hAnsi="Calibri"/>
          <w:b/>
          <w:color w:val="1F4E79"/>
          <w:sz w:val="22"/>
          <w:rtl w:val="1"/>
        </w:rPr>
        <w:t>AWS</w:t>
      </w:r>
      <w:r>
        <w:rPr>
          <w:rFonts w:ascii="Calibri" w:hAnsi="Calibri"/>
          <w:b w:val="0"/>
          <w:color w:val="333333"/>
          <w:sz w:val="22"/>
          <w:rtl w:val="1"/>
        </w:rPr>
        <w:t>. ويشمل حماية البنية التحتية المادية من مبانٍ، وكهرباء، وسيرفرات، والشبكات الرئيسية، بالإضافة إلى برمجيات النظام الأساسي والـ Hypervisor.</w:t>
      </w:r>
    </w:p>
    <w:p>
      <w:pPr>
        <w:spacing w:before="0" w:after="120" w:line="276" w:lineRule="auto"/>
        <w:jc w:val="right"/>
        <w:bidi w:val="1"/>
      </w:pPr>
      <w:r>
        <w:rPr>
          <w:rFonts w:ascii="Calibri" w:hAnsi="Calibri"/>
          <w:b w:val="0"/>
          <w:color w:val="333333"/>
          <w:sz w:val="22"/>
          <w:rtl w:val="1"/>
        </w:rPr>
        <w:t xml:space="preserve">2. </w:t>
      </w:r>
      <w:r>
        <w:rPr>
          <w:rFonts w:ascii="Calibri" w:hAnsi="Calibri"/>
          <w:b/>
          <w:color w:val="1F4E79"/>
          <w:sz w:val="22"/>
          <w:rtl w:val="1"/>
        </w:rPr>
        <w:t>الأمن في السحابة (Security IN the Cloud)</w:t>
      </w:r>
      <w:r>
        <w:rPr>
          <w:rFonts w:ascii="Calibri" w:hAnsi="Calibri"/>
          <w:b w:val="0"/>
          <w:color w:val="333333"/>
          <w:sz w:val="22"/>
          <w:rtl w:val="1"/>
        </w:rPr>
        <w:t xml:space="preserve">: وهو مسؤولية </w:t>
      </w:r>
      <w:r>
        <w:rPr>
          <w:rFonts w:ascii="Calibri" w:hAnsi="Calibri"/>
          <w:b/>
          <w:color w:val="1F4E79"/>
          <w:sz w:val="22"/>
          <w:rtl w:val="1"/>
        </w:rPr>
        <w:t>العميل (Customer)</w:t>
      </w:r>
      <w:r>
        <w:rPr>
          <w:rFonts w:ascii="Calibri" w:hAnsi="Calibri"/>
          <w:b w:val="0"/>
          <w:color w:val="333333"/>
          <w:sz w:val="22"/>
          <w:rtl w:val="1"/>
        </w:rPr>
        <w:t>. ويشمل حماية البيانات، تشفير البيانات، كلمات المرور وإدارة الوصول (</w:t>
      </w:r>
      <w:r>
        <w:rPr>
          <w:rFonts w:ascii="Calibri" w:hAnsi="Calibri"/>
          <w:b/>
          <w:color w:val="1F4E79"/>
          <w:sz w:val="22"/>
          <w:rtl w:val="1"/>
        </w:rPr>
        <w:t>IAM</w:t>
      </w:r>
      <w:r>
        <w:rPr>
          <w:rFonts w:ascii="Calibri" w:hAnsi="Calibri"/>
          <w:b w:val="0"/>
          <w:color w:val="333333"/>
          <w:sz w:val="22"/>
          <w:rtl w:val="1"/>
        </w:rPr>
        <w:t>)، إعدادات جدار الحماية للشبكة (</w:t>
      </w:r>
      <w:r>
        <w:rPr>
          <w:rFonts w:ascii="Calibri" w:hAnsi="Calibri"/>
          <w:b/>
          <w:color w:val="1F4E79"/>
          <w:sz w:val="22"/>
          <w:rtl w:val="1"/>
        </w:rPr>
        <w:t>Security Groups</w:t>
      </w:r>
      <w:r>
        <w:rPr>
          <w:rFonts w:ascii="Calibri" w:hAnsi="Calibri"/>
          <w:b w:val="0"/>
          <w:color w:val="333333"/>
          <w:sz w:val="22"/>
          <w:rtl w:val="1"/>
        </w:rPr>
        <w:t>)، وتحديث وإصلاح نظام التشغيل للـ EC2 (الـ Guest OS).</w:t>
      </w:r>
    </w:p>
    <w:tbl>
      <w:tblPr>
        <w:tblW w:type="auto" w:w="0"/>
        <w:jc w:val="center"/>
        <w:tblLayout w:type="fixed"/>
        <w:tblLook w:firstColumn="1" w:firstRow="1" w:lastColumn="0" w:lastRow="0" w:noHBand="0" w:noVBand="1" w:val="04A0"/>
        <w:bidiVisual w:val="1"/>
      </w:tblPr>
      <w:tblGrid>
        <w:gridCol w:w="9360"/>
      </w:tblGrid>
      <w:tr>
        <w:tc>
          <w:tcPr>
            <w:tcW w:type="dxa" w:w="9360"/>
            <w:shd w:fill="F2F5F8"/>
            <w:tcMar>
              <w:top w:w="150" w:type="dxa"/>
              <w:bottom w:w="150" w:type="dxa"/>
              <w:left w:w="200" w:type="dxa"/>
              <w:right w:w="200" w:type="dxa"/>
            </w:tcMar>
            <w:tcBorders>
              <w:top w:val="none" w:sz="0" w:space="0" w:color="auto"/>
              <w:left w:val="none" w:sz="0" w:space="0" w:color="auto"/>
              <w:bottom w:val="none" w:sz="0" w:space="0" w:color="auto"/>
              <w:right w:val="single" w:sz="24" w:space="0" w:color="1F4E79"/>
            </w:tcBorders>
          </w:tcPr>
          <w:p>
            <w:pPr>
              <w:spacing w:before="80" w:after="80" w:line="276" w:lineRule="auto"/>
              <w:jc w:val="right"/>
              <w:bidi w:val="1"/>
            </w:pPr>
            <w:r>
              <w:rPr>
                <w:rFonts w:ascii="Calibri" w:hAnsi="Calibri"/>
                <w:b/>
                <w:color w:val="1F4E79"/>
                <w:sz w:val="22"/>
                <w:rtl w:val="1"/>
              </w:rPr>
              <w:t>📌 قاعدة نموذج المسؤولية المشتركة</w:t>
              <w:br/>
            </w:r>
            <w:r>
              <w:rPr>
                <w:rFonts w:ascii="Calibri" w:hAnsi="Calibri"/>
                <w:color w:val="333333"/>
                <w:sz w:val="20"/>
                <w:rtl w:val="1"/>
              </w:rPr>
              <w:t>قاعدة ذهبية للامتحان: أي شيء يتعلق بالعتاد المادية (Physical/Hardware) أو البنية التحتية العالمية فهو مسؤولية AWS. أي شيء يخص إعدادات البرامج، البيانات، تشفيرها، كلمات المرور، أو أنظمة التشغيل التي تنشئها فهو مسؤوليتك كعميل.</w:t>
            </w:r>
          </w:p>
        </w:tc>
      </w:tr>
    </w:tbl>
    <w:p>
      <w:pPr>
        <w:spacing w:before="0" w:after="120"/>
        <w:jc w:val="right"/>
        <w:bidi w:val="1"/>
      </w:pPr>
    </w:p>
    <w:tbl>
      <w:tblPr>
        <w:tblW w:type="auto" w:w="0"/>
        <w:jc w:val="center"/>
        <w:tblLayout w:type="fixed"/>
        <w:tblLook w:firstColumn="1" w:firstRow="1" w:lastColumn="0" w:lastRow="0" w:noHBand="0" w:noVBand="1" w:val="04A0"/>
        <w:bidiVisual w:val="1"/>
      </w:tblPr>
      <w:tblGrid>
        <w:gridCol w:w="4680"/>
        <w:gridCol w:w="4680"/>
      </w:tblGrid>
      <w:tr>
        <w:tc>
          <w:tcPr>
            <w:tcW w:type="dxa" w:w="4680"/>
            <w:shd w:fill="1F4E79"/>
            <w:tcMar>
              <w:top w:w="120" w:type="dxa"/>
              <w:bottom w:w="120" w:type="dxa"/>
              <w:left w:w="150" w:type="dxa"/>
              <w:right w:w="150" w:type="dxa"/>
            </w:tcMar>
            <w:tcBorders>
              <w:top w:val="single" w:sz="8" w:space="0" w:color="1F4E79"/>
              <w:left w:val="single" w:sz="4" w:space="0" w:color="D3D3D3"/>
              <w:bottom w:val="single" w:sz="12" w:space="0" w:color="1F4E79"/>
              <w:right w:val="single" w:sz="4" w:space="0" w:color="D3D3D3"/>
            </w:tcBorders>
          </w:tcPr>
          <w:p>
            <w:pPr>
              <w:spacing w:before="80" w:after="80" w:line="276" w:lineRule="auto"/>
              <w:jc w:val="right"/>
              <w:bidi w:val="1"/>
            </w:pPr>
            <w:r>
              <w:rPr>
                <w:rFonts w:ascii="Calibri" w:hAnsi="Calibri"/>
                <w:b/>
                <w:color w:val="FFFFFF"/>
                <w:sz w:val="22"/>
                <w:rtl w:val="1"/>
              </w:rPr>
              <w:t>مسؤوليات العميل (Customer - IN the cloud)</w:t>
            </w:r>
          </w:p>
        </w:tc>
        <w:tc>
          <w:tcPr>
            <w:tcW w:type="dxa" w:w="4680"/>
            <w:shd w:fill="1F4E79"/>
            <w:tcMar>
              <w:top w:w="120" w:type="dxa"/>
              <w:bottom w:w="120" w:type="dxa"/>
              <w:left w:w="150" w:type="dxa"/>
              <w:right w:w="150" w:type="dxa"/>
            </w:tcMar>
            <w:tcBorders>
              <w:top w:val="single" w:sz="8" w:space="0" w:color="1F4E79"/>
              <w:left w:val="single" w:sz="4" w:space="0" w:color="D3D3D3"/>
              <w:bottom w:val="single" w:sz="12" w:space="0" w:color="1F4E79"/>
              <w:right w:val="single" w:sz="4" w:space="0" w:color="D3D3D3"/>
            </w:tcBorders>
          </w:tcPr>
          <w:p>
            <w:pPr>
              <w:spacing w:before="80" w:after="80" w:line="276" w:lineRule="auto"/>
              <w:jc w:val="right"/>
              <w:bidi w:val="1"/>
            </w:pPr>
            <w:r>
              <w:rPr>
                <w:rFonts w:ascii="Calibri" w:hAnsi="Calibri"/>
                <w:b/>
                <w:color w:val="FFFFFF"/>
                <w:sz w:val="22"/>
                <w:rtl w:val="1"/>
              </w:rPr>
              <w:t>مسؤوليات AWS (OF the cloud)</w:t>
            </w:r>
          </w:p>
        </w:tc>
      </w:tr>
      <w:tr>
        <w:tc>
          <w:tcPr>
            <w:tcW w:type="dxa" w:w="46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بيانات العميل وتشفيرها (Customer Data &amp; Encryption)</w:t>
            </w:r>
          </w:p>
        </w:tc>
        <w:tc>
          <w:tcPr>
            <w:tcW w:type="dxa" w:w="46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الحماية المادية لمراكز البيانات والكهرباء والتبريد</w:t>
            </w:r>
          </w:p>
        </w:tc>
      </w:tr>
      <w:tr>
        <w:tc>
          <w:tcPr>
            <w:tcW w:type="dxa" w:w="46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إدارة الهوية والوصول (IAM: Users, Roles, MFA)</w:t>
            </w:r>
          </w:p>
        </w:tc>
        <w:tc>
          <w:tcPr>
            <w:tcW w:type="dxa" w:w="46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أمان أجهزة السيرفرات والعتاد المادي (Hardware)</w:t>
            </w:r>
          </w:p>
        </w:tc>
      </w:tr>
      <w:tr>
        <w:tc>
          <w:tcPr>
            <w:tcW w:type="dxa" w:w="46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تحديث نظام التشغيل للـ EC2 (Guest OS patching)</w:t>
            </w:r>
          </w:p>
        </w:tc>
        <w:tc>
          <w:tcPr>
            <w:tcW w:type="dxa" w:w="46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تحديث وتأمين الـ Hypervisor ونظام التشغيل الافتراضي</w:t>
            </w:r>
          </w:p>
        </w:tc>
      </w:tr>
      <w:tr>
        <w:tc>
          <w:tcPr>
            <w:tcW w:type="dxa" w:w="46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إعدادات جدار الحماية (Security Groups &amp; Network ACLs)</w:t>
            </w:r>
          </w:p>
        </w:tc>
        <w:tc>
          <w:tcPr>
            <w:tcW w:type="dxa" w:w="46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صيانة وتأمين الخدمات المدارة مثل S3, DynamoDB, RDS</w:t>
            </w:r>
          </w:p>
        </w:tc>
      </w:tr>
      <w:tr>
        <w:tc>
          <w:tcPr>
            <w:tcW w:type="dxa" w:w="46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أمان التطبيقات والشبكات الافتراضية الخاصة (VPC)</w:t>
            </w:r>
          </w:p>
        </w:tc>
        <w:tc>
          <w:tcPr>
            <w:tcW w:type="dxa" w:w="46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البنية التحتية للشبكات المادية وكابلات التوصيل</w:t>
            </w:r>
          </w:p>
        </w:tc>
      </w:tr>
    </w:tbl>
    <w:p/>
    <w:p>
      <w:pPr>
        <w:keepNext/>
        <w:spacing w:before="360" w:after="120"/>
        <w:jc w:val="right"/>
        <w:bidi w:val="1"/>
        <w:pBdr>
          <w:bottom w:val="single" w:sz="12" w:space="4" w:color="1F4E79"/>
        </w:pBdr>
      </w:pPr>
      <w:r>
        <w:rPr>
          <w:rFonts w:ascii="Calibri" w:hAnsi="Calibri"/>
          <w:b/>
          <w:color w:val="1F4E79"/>
          <w:sz w:val="32"/>
          <w:rtl w:val="1"/>
        </w:rPr>
        <w:t>4. البنية التحتية العالمية لـ AWS (Global Infrastructure)</w:t>
      </w:r>
    </w:p>
    <w:p>
      <w:pPr>
        <w:spacing w:before="0" w:after="120" w:line="276" w:lineRule="auto"/>
        <w:jc w:val="right"/>
        <w:bidi w:val="1"/>
      </w:pPr>
      <w:r>
        <w:rPr>
          <w:rFonts w:ascii="Calibri" w:hAnsi="Calibri"/>
          <w:b w:val="0"/>
          <w:color w:val="333333"/>
          <w:sz w:val="22"/>
          <w:rtl w:val="1"/>
        </w:rPr>
        <w:t>تنتشر خوادم AWS حول العالم في هيكل منظم لضمان السرعة والاعتمادية ومقاومة الكوارث:</w:t>
      </w:r>
    </w:p>
    <w:p>
      <w:pPr>
        <w:spacing w:before="0" w:after="120" w:line="276" w:lineRule="auto"/>
        <w:jc w:val="right"/>
        <w:bidi w:val="1"/>
      </w:pPr>
      <w:r>
        <w:rPr>
          <w:rFonts w:ascii="Calibri" w:hAnsi="Calibri"/>
          <w:b w:val="0"/>
          <w:color w:val="333333"/>
          <w:sz w:val="22"/>
          <w:rtl w:val="1"/>
        </w:rPr>
        <w:t xml:space="preserve">• </w:t>
      </w:r>
      <w:r>
        <w:rPr>
          <w:rFonts w:ascii="Calibri" w:hAnsi="Calibri"/>
          <w:b/>
          <w:color w:val="1F4E79"/>
          <w:sz w:val="22"/>
          <w:rtl w:val="1"/>
        </w:rPr>
        <w:t>Regions (المناطق الجغرافية)</w:t>
      </w:r>
      <w:r>
        <w:rPr>
          <w:rFonts w:ascii="Calibri" w:hAnsi="Calibri"/>
          <w:b w:val="0"/>
          <w:color w:val="333333"/>
          <w:sz w:val="22"/>
          <w:rtl w:val="1"/>
        </w:rPr>
        <w:t xml:space="preserve">: هي مواقع جغرافية حول العالم تحتوي على مركزين أو أكثر من مراكز البيانات. يتم اختيار المنطقة بناءً على: </w:t>
      </w:r>
      <w:r>
        <w:rPr>
          <w:rFonts w:ascii="Calibri" w:hAnsi="Calibri"/>
          <w:b/>
          <w:color w:val="1F4E79"/>
          <w:sz w:val="22"/>
          <w:rtl w:val="1"/>
        </w:rPr>
        <w:t>القرب من المستخدمين لتقليل زمن الاستجابة (Latency)</w:t>
      </w:r>
      <w:r>
        <w:rPr>
          <w:rFonts w:ascii="Calibri" w:hAnsi="Calibri"/>
          <w:b w:val="0"/>
          <w:color w:val="333333"/>
          <w:sz w:val="22"/>
          <w:rtl w:val="1"/>
        </w:rPr>
        <w:t xml:space="preserve">، </w:t>
      </w:r>
      <w:r>
        <w:rPr>
          <w:rFonts w:ascii="Calibri" w:hAnsi="Calibri"/>
          <w:b/>
          <w:color w:val="1F4E79"/>
          <w:sz w:val="22"/>
          <w:rtl w:val="1"/>
        </w:rPr>
        <w:t>التكلفة</w:t>
      </w:r>
      <w:r>
        <w:rPr>
          <w:rFonts w:ascii="Calibri" w:hAnsi="Calibri"/>
          <w:b w:val="0"/>
          <w:color w:val="333333"/>
          <w:sz w:val="22"/>
          <w:rtl w:val="1"/>
        </w:rPr>
        <w:t>، و</w:t>
      </w:r>
      <w:r>
        <w:rPr>
          <w:rFonts w:ascii="Calibri" w:hAnsi="Calibri"/>
          <w:b/>
          <w:color w:val="1F4E79"/>
          <w:sz w:val="22"/>
          <w:rtl w:val="1"/>
        </w:rPr>
        <w:t>الامتثال للقوانين المحلية للبيانات (Compliance)</w:t>
      </w:r>
      <w:r>
        <w:rPr>
          <w:rFonts w:ascii="Calibri" w:hAnsi="Calibri"/>
          <w:b w:val="0"/>
          <w:color w:val="333333"/>
          <w:sz w:val="22"/>
          <w:rtl w:val="1"/>
        </w:rPr>
        <w:t>.</w:t>
      </w:r>
    </w:p>
    <w:p>
      <w:pPr>
        <w:spacing w:before="0" w:after="120" w:line="276" w:lineRule="auto"/>
        <w:jc w:val="right"/>
        <w:bidi w:val="1"/>
      </w:pPr>
      <w:r>
        <w:rPr>
          <w:rFonts w:ascii="Calibri" w:hAnsi="Calibri"/>
          <w:b w:val="0"/>
          <w:color w:val="333333"/>
          <w:sz w:val="22"/>
          <w:rtl w:val="1"/>
        </w:rPr>
        <w:t xml:space="preserve">• </w:t>
      </w:r>
      <w:r>
        <w:rPr>
          <w:rFonts w:ascii="Calibri" w:hAnsi="Calibri"/>
          <w:b/>
          <w:color w:val="1F4E79"/>
          <w:sz w:val="22"/>
          <w:rtl w:val="1"/>
        </w:rPr>
        <w:t>Availability Zones (AZs - مناطق التوفر)</w:t>
      </w:r>
      <w:r>
        <w:rPr>
          <w:rFonts w:ascii="Calibri" w:hAnsi="Calibri"/>
          <w:b w:val="0"/>
          <w:color w:val="333333"/>
          <w:sz w:val="22"/>
          <w:rtl w:val="1"/>
        </w:rPr>
        <w:t>: هي مركز بيانات واحد أو أكثر من مراكز البيانات المنعزلة مادياً داخل نفس المنطقة السحابية، ولها طاقة وتبريد واتصالات منفصلة ومحمية ضد الكوارث. تتصل الـ AZs مع بعضها بشبكة ألياف ضوئية ذات زمن استجابة منخفض جداً.</w:t>
      </w:r>
    </w:p>
    <w:p>
      <w:pPr>
        <w:spacing w:before="0" w:after="120" w:line="276" w:lineRule="auto"/>
        <w:jc w:val="right"/>
        <w:bidi w:val="1"/>
      </w:pPr>
      <w:r>
        <w:rPr>
          <w:rFonts w:ascii="Calibri" w:hAnsi="Calibri"/>
          <w:b w:val="0"/>
          <w:color w:val="333333"/>
          <w:sz w:val="22"/>
          <w:rtl w:val="1"/>
        </w:rPr>
        <w:t xml:space="preserve">• </w:t>
      </w:r>
      <w:r>
        <w:rPr>
          <w:rFonts w:ascii="Calibri" w:hAnsi="Calibri"/>
          <w:b/>
          <w:color w:val="1F4E79"/>
          <w:sz w:val="22"/>
          <w:rtl w:val="1"/>
        </w:rPr>
        <w:t>Edge Locations (مواقع الأطراف)</w:t>
      </w:r>
      <w:r>
        <w:rPr>
          <w:rFonts w:ascii="Calibri" w:hAnsi="Calibri"/>
          <w:b w:val="0"/>
          <w:color w:val="333333"/>
          <w:sz w:val="22"/>
          <w:rtl w:val="1"/>
        </w:rPr>
        <w:t xml:space="preserve">: خوادم مصغرة منتشرة حول العالم بكثافة عالية، وتُستخدم بواسطة خدمة </w:t>
      </w:r>
      <w:r>
        <w:rPr>
          <w:rFonts w:ascii="Calibri" w:hAnsi="Calibri"/>
          <w:b/>
          <w:color w:val="1F4E79"/>
          <w:sz w:val="22"/>
          <w:rtl w:val="1"/>
        </w:rPr>
        <w:t>Amazon CloudFront</w:t>
      </w:r>
      <w:r>
        <w:rPr>
          <w:rFonts w:ascii="Calibri" w:hAnsi="Calibri"/>
          <w:b w:val="0"/>
          <w:color w:val="333333"/>
          <w:sz w:val="22"/>
          <w:rtl w:val="1"/>
        </w:rPr>
        <w:t xml:space="preserve"> لحفظ نسخ مؤقتة (Caching) من البيانات لتوصيلها للمستخدمين بأقل زمن استجابة ممكن.</w:t>
      </w:r>
    </w:p>
    <w:tbl>
      <w:tblPr>
        <w:tblW w:type="auto" w:w="0"/>
        <w:jc w:val="center"/>
        <w:tblLayout w:type="fixed"/>
        <w:tblLook w:firstColumn="1" w:firstRow="1" w:lastColumn="0" w:lastRow="0" w:noHBand="0" w:noVBand="1" w:val="04A0"/>
        <w:bidiVisual w:val="1"/>
      </w:tblPr>
      <w:tblGrid>
        <w:gridCol w:w="9360"/>
      </w:tblGrid>
      <w:tr>
        <w:tc>
          <w:tcPr>
            <w:tcW w:type="dxa" w:w="9360"/>
            <w:shd w:fill="F2F5F8"/>
            <w:tcMar>
              <w:top w:w="150" w:type="dxa"/>
              <w:bottom w:w="150" w:type="dxa"/>
              <w:left w:w="200" w:type="dxa"/>
              <w:right w:w="200" w:type="dxa"/>
            </w:tcMar>
            <w:tcBorders>
              <w:top w:val="none" w:sz="0" w:space="0" w:color="auto"/>
              <w:left w:val="none" w:sz="0" w:space="0" w:color="auto"/>
              <w:bottom w:val="none" w:sz="0" w:space="0" w:color="auto"/>
              <w:right w:val="single" w:sz="24" w:space="0" w:color="1F4E79"/>
            </w:tcBorders>
          </w:tcPr>
          <w:p>
            <w:pPr>
              <w:spacing w:before="80" w:after="80" w:line="276" w:lineRule="auto"/>
              <w:jc w:val="right"/>
              <w:bidi w:val="1"/>
            </w:pPr>
            <w:r>
              <w:rPr>
                <w:rFonts w:ascii="Calibri" w:hAnsi="Calibri"/>
                <w:b/>
                <w:color w:val="1F4E79"/>
                <w:sz w:val="22"/>
                <w:rtl w:val="1"/>
              </w:rPr>
              <w:t>📌 نصيحة الامتحان</w:t>
              <w:br/>
            </w:r>
            <w:r>
              <w:rPr>
                <w:rFonts w:ascii="Calibri" w:hAnsi="Calibri"/>
                <w:color w:val="333333"/>
                <w:sz w:val="20"/>
                <w:rtl w:val="1"/>
              </w:rPr>
              <w:t>لتحقيق التوافرية العالية (High Availability)، يجب توزيع التطبيق على أكثر من منطقة توفر (Multi-AZ) داخل المنطقة الواحدة. لحماية التطبيق من الكوارث الكلية التي قد تضرب دولة كاملة، يجب توزيعه عبر مناطق جغرافية مختلفة (Multi-Region).</w:t>
            </w:r>
          </w:p>
        </w:tc>
      </w:tr>
    </w:tbl>
    <w:p>
      <w:pPr>
        <w:spacing w:before="0" w:after="120"/>
        <w:jc w:val="right"/>
        <w:bidi w:val="1"/>
      </w:pPr>
    </w:p>
    <w:p>
      <w:pPr>
        <w:keepNext/>
        <w:spacing w:before="360" w:after="120"/>
        <w:jc w:val="right"/>
        <w:bidi w:val="1"/>
        <w:pBdr>
          <w:bottom w:val="single" w:sz="12" w:space="4" w:color="1F4E79"/>
        </w:pBdr>
      </w:pPr>
      <w:r>
        <w:rPr>
          <w:rFonts w:ascii="Calibri" w:hAnsi="Calibri"/>
          <w:b/>
          <w:color w:val="1F4E79"/>
          <w:sz w:val="32"/>
          <w:rtl w:val="1"/>
        </w:rPr>
        <w:t>5. دليل خدمات AWS والكلمات المفتاحية في الأسئلة</w:t>
      </w:r>
    </w:p>
    <w:p>
      <w:pPr>
        <w:spacing w:before="0" w:after="120" w:line="276" w:lineRule="auto"/>
        <w:jc w:val="right"/>
        <w:bidi w:val="1"/>
      </w:pPr>
      <w:r>
        <w:rPr>
          <w:rFonts w:ascii="Calibri" w:hAnsi="Calibri"/>
          <w:b w:val="0"/>
          <w:color w:val="333333"/>
          <w:sz w:val="22"/>
          <w:rtl w:val="1"/>
        </w:rPr>
        <w:t>هذا الجزء هو الأهم! الجدول التالي يستعرض أهم الخدمات، وظيفتها، والكلمات المفتاحية التي تأتي في أسئلة الامتحان:</w:t>
      </w:r>
    </w:p>
    <w:p>
      <w:pPr>
        <w:keepNext/>
        <w:spacing w:before="280" w:after="80"/>
        <w:jc w:val="right"/>
        <w:bidi w:val="1"/>
      </w:pPr>
      <w:r>
        <w:rPr>
          <w:rFonts w:ascii="Calibri" w:hAnsi="Calibri"/>
          <w:b/>
          <w:color w:val="2F5597"/>
          <w:sz w:val="26"/>
          <w:rtl w:val="1"/>
        </w:rPr>
        <w:t>أولاً: الخدمات الحسابية (Compute Services)</w:t>
      </w:r>
    </w:p>
    <w:tbl>
      <w:tblPr>
        <w:tblW w:type="auto" w:w="0"/>
        <w:jc w:val="center"/>
        <w:tblLayout w:type="fixed"/>
        <w:tblLook w:firstColumn="1" w:firstRow="1" w:lastColumn="0" w:lastRow="0" w:noHBand="0" w:noVBand="1" w:val="04A0"/>
        <w:bidiVisual w:val="1"/>
      </w:tblPr>
      <w:tblGrid>
        <w:gridCol w:w="3120"/>
        <w:gridCol w:w="3120"/>
        <w:gridCol w:w="3120"/>
      </w:tblGrid>
      <w:tr>
        <w:tc>
          <w:tcPr>
            <w:tcW w:type="dxa" w:w="2160"/>
            <w:shd w:fill="1F4E79"/>
            <w:tcMar>
              <w:top w:w="120" w:type="dxa"/>
              <w:bottom w:w="120" w:type="dxa"/>
              <w:left w:w="150" w:type="dxa"/>
              <w:right w:w="150" w:type="dxa"/>
            </w:tcMar>
            <w:tcBorders>
              <w:top w:val="single" w:sz="8" w:space="0" w:color="1F4E79"/>
              <w:left w:val="single" w:sz="4" w:space="0" w:color="D3D3D3"/>
              <w:bottom w:val="single" w:sz="12" w:space="0" w:color="1F4E79"/>
              <w:right w:val="single" w:sz="4" w:space="0" w:color="D3D3D3"/>
            </w:tcBorders>
          </w:tcPr>
          <w:p>
            <w:pPr>
              <w:spacing w:before="80" w:after="80" w:line="276" w:lineRule="auto"/>
              <w:jc w:val="right"/>
              <w:bidi w:val="1"/>
            </w:pPr>
            <w:r>
              <w:rPr>
                <w:rFonts w:ascii="Calibri" w:hAnsi="Calibri"/>
                <w:b/>
                <w:color w:val="FFFFFF"/>
                <w:sz w:val="22"/>
                <w:rtl w:val="1"/>
              </w:rPr>
              <w:t>الخدمة (Service)</w:t>
            </w:r>
          </w:p>
        </w:tc>
        <w:tc>
          <w:tcPr>
            <w:tcW w:type="dxa" w:w="3240"/>
            <w:shd w:fill="1F4E79"/>
            <w:tcMar>
              <w:top w:w="120" w:type="dxa"/>
              <w:bottom w:w="120" w:type="dxa"/>
              <w:left w:w="150" w:type="dxa"/>
              <w:right w:w="150" w:type="dxa"/>
            </w:tcMar>
            <w:tcBorders>
              <w:top w:val="single" w:sz="8" w:space="0" w:color="1F4E79"/>
              <w:left w:val="single" w:sz="4" w:space="0" w:color="D3D3D3"/>
              <w:bottom w:val="single" w:sz="12" w:space="0" w:color="1F4E79"/>
              <w:right w:val="single" w:sz="4" w:space="0" w:color="D3D3D3"/>
            </w:tcBorders>
          </w:tcPr>
          <w:p>
            <w:pPr>
              <w:spacing w:before="80" w:after="80" w:line="276" w:lineRule="auto"/>
              <w:jc w:val="right"/>
              <w:bidi w:val="1"/>
            </w:pPr>
            <w:r>
              <w:rPr>
                <w:rFonts w:ascii="Calibri" w:hAnsi="Calibri"/>
                <w:b/>
                <w:color w:val="FFFFFF"/>
                <w:sz w:val="22"/>
                <w:rtl w:val="1"/>
              </w:rPr>
              <w:t>الوظيفة الأساسية</w:t>
            </w:r>
          </w:p>
        </w:tc>
        <w:tc>
          <w:tcPr>
            <w:tcW w:type="dxa" w:w="3960"/>
            <w:shd w:fill="1F4E79"/>
            <w:tcMar>
              <w:top w:w="120" w:type="dxa"/>
              <w:bottom w:w="120" w:type="dxa"/>
              <w:left w:w="150" w:type="dxa"/>
              <w:right w:w="150" w:type="dxa"/>
            </w:tcMar>
            <w:tcBorders>
              <w:top w:val="single" w:sz="8" w:space="0" w:color="1F4E79"/>
              <w:left w:val="single" w:sz="4" w:space="0" w:color="D3D3D3"/>
              <w:bottom w:val="single" w:sz="12" w:space="0" w:color="1F4E79"/>
              <w:right w:val="single" w:sz="4" w:space="0" w:color="D3D3D3"/>
            </w:tcBorders>
          </w:tcPr>
          <w:p>
            <w:pPr>
              <w:spacing w:before="80" w:after="80" w:line="276" w:lineRule="auto"/>
              <w:jc w:val="right"/>
              <w:bidi w:val="1"/>
            </w:pPr>
            <w:r>
              <w:rPr>
                <w:rFonts w:ascii="Calibri" w:hAnsi="Calibri"/>
                <w:b/>
                <w:color w:val="FFFFFF"/>
                <w:sz w:val="22"/>
                <w:rtl w:val="1"/>
              </w:rPr>
              <w:t>الكلمات المفتاحية في السؤال (Triggers)</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Amazon EC2</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خوادم افتراضية (Virtual Machines) تمنحك تحكماً كاملاً بنظام التشغيل.</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Virtual servers, full control over OS, guest OS management, IaaS</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AWS Lambda</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خدمة حسابية بدون سيرفرات (Serverless) تقوم بتشغيل الكود عند حدوث حدث معين فقط.</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Serverless compute, event-driven, short running tasks (max 15 mins), run code without provisioning</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AWS Fargate</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محرك حسابي بدون سيرفرات لتشغيل الحاويات (Docker Containers) دون إدارة السيرفرات.</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Run docker containers without managing servers, serverless container engine</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Amazon ECS / EKS</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خدمات إدارة وتوجيه الحاويات (Docker / Kubernetes).</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Orchestrate containers, Docker containers, Kubernetes management</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AWS Elastic Beanstalk</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منصة لتسليم التطبيقات (PaaS). ترفع الكود فقط وهو يتكفل بحجز السيرفرات والموازنات والتوسع تلقائياً.</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Platform as a Service (PaaS), upload code, automated capacity provisioning, quick web app deployment</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Amazon Lightsail</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خوادم وحلول ويب افتراضية جاهزة وبسيطة للمشاريع الصغيرة بتكلفة منخفضة وثابتة.</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Simple Virtual Private Server (VPS), low predictable pricing, small businesses, easy setup</w:t>
            </w:r>
          </w:p>
        </w:tc>
      </w:tr>
    </w:tbl>
    <w:p/>
    <w:p>
      <w:pPr>
        <w:keepNext/>
        <w:spacing w:before="280" w:after="80"/>
        <w:jc w:val="right"/>
        <w:bidi w:val="1"/>
      </w:pPr>
      <w:r>
        <w:rPr>
          <w:rFonts w:ascii="Calibri" w:hAnsi="Calibri"/>
          <w:b/>
          <w:color w:val="2F5597"/>
          <w:sz w:val="26"/>
          <w:rtl w:val="1"/>
        </w:rPr>
        <w:t>ثانياً: خدمات التخزين (Storage Services)</w:t>
      </w:r>
    </w:p>
    <w:tbl>
      <w:tblPr>
        <w:tblW w:type="auto" w:w="0"/>
        <w:jc w:val="center"/>
        <w:tblLayout w:type="fixed"/>
        <w:tblLook w:firstColumn="1" w:firstRow="1" w:lastColumn="0" w:lastRow="0" w:noHBand="0" w:noVBand="1" w:val="04A0"/>
        <w:bidiVisual w:val="1"/>
      </w:tblPr>
      <w:tblGrid>
        <w:gridCol w:w="3120"/>
        <w:gridCol w:w="3120"/>
        <w:gridCol w:w="3120"/>
      </w:tblGrid>
      <w:tr>
        <w:tc>
          <w:tcPr>
            <w:tcW w:type="dxa" w:w="2160"/>
            <w:shd w:fill="1F4E79"/>
            <w:tcMar>
              <w:top w:w="120" w:type="dxa"/>
              <w:bottom w:w="120" w:type="dxa"/>
              <w:left w:w="150" w:type="dxa"/>
              <w:right w:w="150" w:type="dxa"/>
            </w:tcMar>
            <w:tcBorders>
              <w:top w:val="single" w:sz="8" w:space="0" w:color="1F4E79"/>
              <w:left w:val="single" w:sz="4" w:space="0" w:color="D3D3D3"/>
              <w:bottom w:val="single" w:sz="12" w:space="0" w:color="1F4E79"/>
              <w:right w:val="single" w:sz="4" w:space="0" w:color="D3D3D3"/>
            </w:tcBorders>
          </w:tcPr>
          <w:p>
            <w:pPr>
              <w:spacing w:before="80" w:after="80" w:line="276" w:lineRule="auto"/>
              <w:jc w:val="right"/>
              <w:bidi w:val="1"/>
            </w:pPr>
            <w:r>
              <w:rPr>
                <w:rFonts w:ascii="Calibri" w:hAnsi="Calibri"/>
                <w:b/>
                <w:color w:val="FFFFFF"/>
                <w:sz w:val="22"/>
                <w:rtl w:val="1"/>
              </w:rPr>
              <w:t>الخدمة (Service)</w:t>
            </w:r>
          </w:p>
        </w:tc>
        <w:tc>
          <w:tcPr>
            <w:tcW w:type="dxa" w:w="3240"/>
            <w:shd w:fill="1F4E79"/>
            <w:tcMar>
              <w:top w:w="120" w:type="dxa"/>
              <w:bottom w:w="120" w:type="dxa"/>
              <w:left w:w="150" w:type="dxa"/>
              <w:right w:w="150" w:type="dxa"/>
            </w:tcMar>
            <w:tcBorders>
              <w:top w:val="single" w:sz="8" w:space="0" w:color="1F4E79"/>
              <w:left w:val="single" w:sz="4" w:space="0" w:color="D3D3D3"/>
              <w:bottom w:val="single" w:sz="12" w:space="0" w:color="1F4E79"/>
              <w:right w:val="single" w:sz="4" w:space="0" w:color="D3D3D3"/>
            </w:tcBorders>
          </w:tcPr>
          <w:p>
            <w:pPr>
              <w:spacing w:before="80" w:after="80" w:line="276" w:lineRule="auto"/>
              <w:jc w:val="right"/>
              <w:bidi w:val="1"/>
            </w:pPr>
            <w:r>
              <w:rPr>
                <w:rFonts w:ascii="Calibri" w:hAnsi="Calibri"/>
                <w:b/>
                <w:color w:val="FFFFFF"/>
                <w:sz w:val="22"/>
                <w:rtl w:val="1"/>
              </w:rPr>
              <w:t>الوظيفة الأساسية</w:t>
            </w:r>
          </w:p>
        </w:tc>
        <w:tc>
          <w:tcPr>
            <w:tcW w:type="dxa" w:w="3960"/>
            <w:shd w:fill="1F4E79"/>
            <w:tcMar>
              <w:top w:w="120" w:type="dxa"/>
              <w:bottom w:w="120" w:type="dxa"/>
              <w:left w:w="150" w:type="dxa"/>
              <w:right w:w="150" w:type="dxa"/>
            </w:tcMar>
            <w:tcBorders>
              <w:top w:val="single" w:sz="8" w:space="0" w:color="1F4E79"/>
              <w:left w:val="single" w:sz="4" w:space="0" w:color="D3D3D3"/>
              <w:bottom w:val="single" w:sz="12" w:space="0" w:color="1F4E79"/>
              <w:right w:val="single" w:sz="4" w:space="0" w:color="D3D3D3"/>
            </w:tcBorders>
          </w:tcPr>
          <w:p>
            <w:pPr>
              <w:spacing w:before="80" w:after="80" w:line="276" w:lineRule="auto"/>
              <w:jc w:val="right"/>
              <w:bidi w:val="1"/>
            </w:pPr>
            <w:r>
              <w:rPr>
                <w:rFonts w:ascii="Calibri" w:hAnsi="Calibri"/>
                <w:b/>
                <w:color w:val="FFFFFF"/>
                <w:sz w:val="22"/>
                <w:rtl w:val="1"/>
              </w:rPr>
              <w:t>الكلمات المفتاحية في السؤال (Triggers)</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Amazon S3</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تخزين كائنات (Object Storage) غير محدود وموثوق للغاية لجميع أنواع الملفات غير المهيكلة.</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Object storage, static website hosting, unlimited storage, bucket, key-value storage, 11 nines durability</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Amazon S3 Standard-IA</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فئة تخزين للملفات التي لا تُطلب كثيراً ولكن يجب الوصول إليها فوراً عند طلبها.</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Infrequently accessed, millisecond access, lower storage cost but retrieval fee</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Amazon S3 Glacier Flexible / Deep Archive</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فئات تخزين لأرشفة البيانات على المدى الطويل بتكلفة بالغة الزهد.</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Archival data, backup storage, retrieval times from minutes to hours, lowest cost storage</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Amazon EBS</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قرص صلب افتراضي (Block Storage) يتم ربطه مباشرة بخادم EC2 واحد في نفس منطقة التوفر.</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Virtual hard drive, block storage for EC2, persists data after instance termination, single AZ</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Amazon EFS</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نظام ملفات مشترك (Shared File System) يمكن ربطه بالعديد من سيرفرات EC2 في وقت واحد.</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Shared storage, Linux file system (NFS), access from multiple EC2 instances concurrently</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AWS Storage Gateway</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ربط وحدات التخزين المحلية في شركتك بوحدات تخزين سحابة AWS بشكل هجين.</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Hybrid cloud storage, connect on-premises environments to AWS storage</w:t>
            </w:r>
          </w:p>
        </w:tc>
      </w:tr>
    </w:tbl>
    <w:p/>
    <w:p>
      <w:pPr>
        <w:keepNext/>
        <w:spacing w:before="280" w:after="80"/>
        <w:jc w:val="right"/>
        <w:bidi w:val="1"/>
      </w:pPr>
      <w:r>
        <w:rPr>
          <w:rFonts w:ascii="Calibri" w:hAnsi="Calibri"/>
          <w:b/>
          <w:color w:val="2F5597"/>
          <w:sz w:val="26"/>
          <w:rtl w:val="1"/>
        </w:rPr>
        <w:t>ثالثاً: خدمات قواعد البيانات (Database Services)</w:t>
      </w:r>
    </w:p>
    <w:tbl>
      <w:tblPr>
        <w:tblW w:type="auto" w:w="0"/>
        <w:jc w:val="center"/>
        <w:tblLayout w:type="fixed"/>
        <w:tblLook w:firstColumn="1" w:firstRow="1" w:lastColumn="0" w:lastRow="0" w:noHBand="0" w:noVBand="1" w:val="04A0"/>
        <w:bidiVisual w:val="1"/>
      </w:tblPr>
      <w:tblGrid>
        <w:gridCol w:w="3120"/>
        <w:gridCol w:w="3120"/>
        <w:gridCol w:w="3120"/>
      </w:tblGrid>
      <w:tr>
        <w:tc>
          <w:tcPr>
            <w:tcW w:type="dxa" w:w="2160"/>
            <w:shd w:fill="1F4E79"/>
            <w:tcMar>
              <w:top w:w="120" w:type="dxa"/>
              <w:bottom w:w="120" w:type="dxa"/>
              <w:left w:w="150" w:type="dxa"/>
              <w:right w:w="150" w:type="dxa"/>
            </w:tcMar>
            <w:tcBorders>
              <w:top w:val="single" w:sz="8" w:space="0" w:color="1F4E79"/>
              <w:left w:val="single" w:sz="4" w:space="0" w:color="D3D3D3"/>
              <w:bottom w:val="single" w:sz="12" w:space="0" w:color="1F4E79"/>
              <w:right w:val="single" w:sz="4" w:space="0" w:color="D3D3D3"/>
            </w:tcBorders>
          </w:tcPr>
          <w:p>
            <w:pPr>
              <w:spacing w:before="80" w:after="80" w:line="276" w:lineRule="auto"/>
              <w:jc w:val="right"/>
              <w:bidi w:val="1"/>
            </w:pPr>
            <w:r>
              <w:rPr>
                <w:rFonts w:ascii="Calibri" w:hAnsi="Calibri"/>
                <w:b/>
                <w:color w:val="FFFFFF"/>
                <w:sz w:val="22"/>
                <w:rtl w:val="1"/>
              </w:rPr>
              <w:t>الخدمة (Service)</w:t>
            </w:r>
          </w:p>
        </w:tc>
        <w:tc>
          <w:tcPr>
            <w:tcW w:type="dxa" w:w="3240"/>
            <w:shd w:fill="1F4E79"/>
            <w:tcMar>
              <w:top w:w="120" w:type="dxa"/>
              <w:bottom w:w="120" w:type="dxa"/>
              <w:left w:w="150" w:type="dxa"/>
              <w:right w:w="150" w:type="dxa"/>
            </w:tcMar>
            <w:tcBorders>
              <w:top w:val="single" w:sz="8" w:space="0" w:color="1F4E79"/>
              <w:left w:val="single" w:sz="4" w:space="0" w:color="D3D3D3"/>
              <w:bottom w:val="single" w:sz="12" w:space="0" w:color="1F4E79"/>
              <w:right w:val="single" w:sz="4" w:space="0" w:color="D3D3D3"/>
            </w:tcBorders>
          </w:tcPr>
          <w:p>
            <w:pPr>
              <w:spacing w:before="80" w:after="80" w:line="276" w:lineRule="auto"/>
              <w:jc w:val="right"/>
              <w:bidi w:val="1"/>
            </w:pPr>
            <w:r>
              <w:rPr>
                <w:rFonts w:ascii="Calibri" w:hAnsi="Calibri"/>
                <w:b/>
                <w:color w:val="FFFFFF"/>
                <w:sz w:val="22"/>
                <w:rtl w:val="1"/>
              </w:rPr>
              <w:t>الوظيفة الأساسية</w:t>
            </w:r>
          </w:p>
        </w:tc>
        <w:tc>
          <w:tcPr>
            <w:tcW w:type="dxa" w:w="3960"/>
            <w:shd w:fill="1F4E79"/>
            <w:tcMar>
              <w:top w:w="120" w:type="dxa"/>
              <w:bottom w:w="120" w:type="dxa"/>
              <w:left w:w="150" w:type="dxa"/>
              <w:right w:w="150" w:type="dxa"/>
            </w:tcMar>
            <w:tcBorders>
              <w:top w:val="single" w:sz="8" w:space="0" w:color="1F4E79"/>
              <w:left w:val="single" w:sz="4" w:space="0" w:color="D3D3D3"/>
              <w:bottom w:val="single" w:sz="12" w:space="0" w:color="1F4E79"/>
              <w:right w:val="single" w:sz="4" w:space="0" w:color="D3D3D3"/>
            </w:tcBorders>
          </w:tcPr>
          <w:p>
            <w:pPr>
              <w:spacing w:before="80" w:after="80" w:line="276" w:lineRule="auto"/>
              <w:jc w:val="right"/>
              <w:bidi w:val="1"/>
            </w:pPr>
            <w:r>
              <w:rPr>
                <w:rFonts w:ascii="Calibri" w:hAnsi="Calibri"/>
                <w:b/>
                <w:color w:val="FFFFFF"/>
                <w:sz w:val="22"/>
                <w:rtl w:val="1"/>
              </w:rPr>
              <w:t>الكلمات المفتاحية في السؤال (Triggers)</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Amazon RDS</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خدمة قواعد بيانات علاقة (Relational) مدارة بالكامل تدعم محركات مثل MySQL و PostgreSQL.</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Relational database, SQL, transactional database, Multi-AZ (HA), Read Replicas (Performance)</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Amazon Aurora</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قاعدة بيانات علاقة سريعة جداً صممتها AWS متوافقة تماماً مع MySQL و PostgreSQL.</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High-performance relational DB, MySQL/PostgreSQL compatible, auto-scaling storage up to 128TB</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Amazon DynamoDB</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قاعدة بيانات غير علاقة (NoSQL) سريعة للغاية وبدون سيرفرات.</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NoSQL, key-value database, single-digit millisecond latency, serverless, document store</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Amazon Redshift</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مستودع بيانات ضخم (Data Warehouse) لتحليل البيانات التاريخية والأعمال الذكية.</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Data warehouse, analytics, BI, complex queries on massive datasets, columnar storage</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Amazon ElastiCache</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قاعدة بيانات في الذاكرة (In-Memory) لتسريع تطبيقات الويب من خلال تخزين البيانات المؤقتة.</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In-memory database cache, Redis / Memcached, database caching, improve performance, reduce latency</w:t>
            </w:r>
          </w:p>
        </w:tc>
      </w:tr>
    </w:tbl>
    <w:p/>
    <w:p>
      <w:pPr>
        <w:keepNext/>
        <w:spacing w:before="280" w:after="80"/>
        <w:jc w:val="right"/>
        <w:bidi w:val="1"/>
      </w:pPr>
      <w:r>
        <w:rPr>
          <w:rFonts w:ascii="Calibri" w:hAnsi="Calibri"/>
          <w:b/>
          <w:color w:val="2F5597"/>
          <w:sz w:val="26"/>
          <w:rtl w:val="1"/>
        </w:rPr>
        <w:t>رابعاً: شبكات وتوصيل المحتوى (Networking &amp; Content Delivery)</w:t>
      </w:r>
    </w:p>
    <w:tbl>
      <w:tblPr>
        <w:tblW w:type="auto" w:w="0"/>
        <w:jc w:val="center"/>
        <w:tblLayout w:type="fixed"/>
        <w:tblLook w:firstColumn="1" w:firstRow="1" w:lastColumn="0" w:lastRow="0" w:noHBand="0" w:noVBand="1" w:val="04A0"/>
        <w:bidiVisual w:val="1"/>
      </w:tblPr>
      <w:tblGrid>
        <w:gridCol w:w="3120"/>
        <w:gridCol w:w="3120"/>
        <w:gridCol w:w="3120"/>
      </w:tblGrid>
      <w:tr>
        <w:tc>
          <w:tcPr>
            <w:tcW w:type="dxa" w:w="2160"/>
            <w:shd w:fill="1F4E79"/>
            <w:tcMar>
              <w:top w:w="120" w:type="dxa"/>
              <w:bottom w:w="120" w:type="dxa"/>
              <w:left w:w="150" w:type="dxa"/>
              <w:right w:w="150" w:type="dxa"/>
            </w:tcMar>
            <w:tcBorders>
              <w:top w:val="single" w:sz="8" w:space="0" w:color="1F4E79"/>
              <w:left w:val="single" w:sz="4" w:space="0" w:color="D3D3D3"/>
              <w:bottom w:val="single" w:sz="12" w:space="0" w:color="1F4E79"/>
              <w:right w:val="single" w:sz="4" w:space="0" w:color="D3D3D3"/>
            </w:tcBorders>
          </w:tcPr>
          <w:p>
            <w:pPr>
              <w:spacing w:before="80" w:after="80" w:line="276" w:lineRule="auto"/>
              <w:jc w:val="right"/>
              <w:bidi w:val="1"/>
            </w:pPr>
            <w:r>
              <w:rPr>
                <w:rFonts w:ascii="Calibri" w:hAnsi="Calibri"/>
                <w:b/>
                <w:color w:val="FFFFFF"/>
                <w:sz w:val="22"/>
                <w:rtl w:val="1"/>
              </w:rPr>
              <w:t>الخدمة (Service)</w:t>
            </w:r>
          </w:p>
        </w:tc>
        <w:tc>
          <w:tcPr>
            <w:tcW w:type="dxa" w:w="3240"/>
            <w:shd w:fill="1F4E79"/>
            <w:tcMar>
              <w:top w:w="120" w:type="dxa"/>
              <w:bottom w:w="120" w:type="dxa"/>
              <w:left w:w="150" w:type="dxa"/>
              <w:right w:w="150" w:type="dxa"/>
            </w:tcMar>
            <w:tcBorders>
              <w:top w:val="single" w:sz="8" w:space="0" w:color="1F4E79"/>
              <w:left w:val="single" w:sz="4" w:space="0" w:color="D3D3D3"/>
              <w:bottom w:val="single" w:sz="12" w:space="0" w:color="1F4E79"/>
              <w:right w:val="single" w:sz="4" w:space="0" w:color="D3D3D3"/>
            </w:tcBorders>
          </w:tcPr>
          <w:p>
            <w:pPr>
              <w:spacing w:before="80" w:after="80" w:line="276" w:lineRule="auto"/>
              <w:jc w:val="right"/>
              <w:bidi w:val="1"/>
            </w:pPr>
            <w:r>
              <w:rPr>
                <w:rFonts w:ascii="Calibri" w:hAnsi="Calibri"/>
                <w:b/>
                <w:color w:val="FFFFFF"/>
                <w:sz w:val="22"/>
                <w:rtl w:val="1"/>
              </w:rPr>
              <w:t>الوظيفة الأساسية</w:t>
            </w:r>
          </w:p>
        </w:tc>
        <w:tc>
          <w:tcPr>
            <w:tcW w:type="dxa" w:w="3960"/>
            <w:shd w:fill="1F4E79"/>
            <w:tcMar>
              <w:top w:w="120" w:type="dxa"/>
              <w:bottom w:w="120" w:type="dxa"/>
              <w:left w:w="150" w:type="dxa"/>
              <w:right w:w="150" w:type="dxa"/>
            </w:tcMar>
            <w:tcBorders>
              <w:top w:val="single" w:sz="8" w:space="0" w:color="1F4E79"/>
              <w:left w:val="single" w:sz="4" w:space="0" w:color="D3D3D3"/>
              <w:bottom w:val="single" w:sz="12" w:space="0" w:color="1F4E79"/>
              <w:right w:val="single" w:sz="4" w:space="0" w:color="D3D3D3"/>
            </w:tcBorders>
          </w:tcPr>
          <w:p>
            <w:pPr>
              <w:spacing w:before="80" w:after="80" w:line="276" w:lineRule="auto"/>
              <w:jc w:val="right"/>
              <w:bidi w:val="1"/>
            </w:pPr>
            <w:r>
              <w:rPr>
                <w:rFonts w:ascii="Calibri" w:hAnsi="Calibri"/>
                <w:b/>
                <w:color w:val="FFFFFF"/>
                <w:sz w:val="22"/>
                <w:rtl w:val="1"/>
              </w:rPr>
              <w:t>الكلمات المفتاحية في السؤال (Triggers)</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Amazon VPC</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شبكة افتراضية خاصة ومنعزلة للعميل داخل سحابة AWS لتشغيل الموارد فيها بأمان.</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Isolated private network, subnets, route tables, security groups, public and private sections</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Amazon Route 53</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خدمة نظام أسماء النطاقات (DNS) لتوجيه المستخدمين لمواقع الويب.</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Domain Name System (DNS), global domain registrar, routing policies (latency, geolocation)</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Amazon CloudFront</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شبكة توصيل محتوى عالمية (CDN) تقوم بتسريع وصول الملفات والمواقع باستخدام مواقع الأطراف.</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Content Delivery Network (CDN), caching content globally, Edge Locations, lower latency for worldwide users</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AWS Direct Connect</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اتصال فيزيائي خاص ومخصص يربط شبكة شركتك بـ AWS مباشرة دون المرور بالإنترنت العام.</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Dedicated physical connection, bypass the public internet, private network fiber, stable and fast</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Elastic Load Balancing (ELB)</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موزع حركة المرور والطلبات تلقائياً على مجموعة من السيرفرات لضمان عدم الضغط على سيرفر واحد.</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Distribute incoming traffic, health checks, Application Load Balancer (ALB) Layer 7, Network Load Balancer (NLB) Layer 4</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AWS Transit Gateway</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بوابة مركزية لربط المئات من الـ VPCs والشبكات المحلية ببعضها بشكل مبسط.</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Central hub, connect VPCs and on-premises networks in a star topology, simplify peering</w:t>
            </w:r>
          </w:p>
        </w:tc>
      </w:tr>
    </w:tbl>
    <w:p/>
    <w:p>
      <w:pPr>
        <w:keepNext/>
        <w:spacing w:before="280" w:after="80"/>
        <w:jc w:val="right"/>
        <w:bidi w:val="1"/>
      </w:pPr>
      <w:r>
        <w:rPr>
          <w:rFonts w:ascii="Calibri" w:hAnsi="Calibri"/>
          <w:b/>
          <w:color w:val="2F5597"/>
          <w:sz w:val="26"/>
          <w:rtl w:val="1"/>
        </w:rPr>
        <w:t>خامساً: الأمن والامتثال (Security &amp; Compliance)</w:t>
      </w:r>
    </w:p>
    <w:tbl>
      <w:tblPr>
        <w:tblW w:type="auto" w:w="0"/>
        <w:jc w:val="center"/>
        <w:tblLayout w:type="fixed"/>
        <w:tblLook w:firstColumn="1" w:firstRow="1" w:lastColumn="0" w:lastRow="0" w:noHBand="0" w:noVBand="1" w:val="04A0"/>
        <w:bidiVisual w:val="1"/>
      </w:tblPr>
      <w:tblGrid>
        <w:gridCol w:w="3120"/>
        <w:gridCol w:w="3120"/>
        <w:gridCol w:w="3120"/>
      </w:tblGrid>
      <w:tr>
        <w:tc>
          <w:tcPr>
            <w:tcW w:type="dxa" w:w="2160"/>
            <w:shd w:fill="1F4E79"/>
            <w:tcMar>
              <w:top w:w="120" w:type="dxa"/>
              <w:bottom w:w="120" w:type="dxa"/>
              <w:left w:w="150" w:type="dxa"/>
              <w:right w:w="150" w:type="dxa"/>
            </w:tcMar>
            <w:tcBorders>
              <w:top w:val="single" w:sz="8" w:space="0" w:color="1F4E79"/>
              <w:left w:val="single" w:sz="4" w:space="0" w:color="D3D3D3"/>
              <w:bottom w:val="single" w:sz="12" w:space="0" w:color="1F4E79"/>
              <w:right w:val="single" w:sz="4" w:space="0" w:color="D3D3D3"/>
            </w:tcBorders>
          </w:tcPr>
          <w:p>
            <w:pPr>
              <w:spacing w:before="80" w:after="80" w:line="276" w:lineRule="auto"/>
              <w:jc w:val="right"/>
              <w:bidi w:val="1"/>
            </w:pPr>
            <w:r>
              <w:rPr>
                <w:rFonts w:ascii="Calibri" w:hAnsi="Calibri"/>
                <w:b/>
                <w:color w:val="FFFFFF"/>
                <w:sz w:val="22"/>
                <w:rtl w:val="1"/>
              </w:rPr>
              <w:t>الخدمة (Service)</w:t>
            </w:r>
          </w:p>
        </w:tc>
        <w:tc>
          <w:tcPr>
            <w:tcW w:type="dxa" w:w="3240"/>
            <w:shd w:fill="1F4E79"/>
            <w:tcMar>
              <w:top w:w="120" w:type="dxa"/>
              <w:bottom w:w="120" w:type="dxa"/>
              <w:left w:w="150" w:type="dxa"/>
              <w:right w:w="150" w:type="dxa"/>
            </w:tcMar>
            <w:tcBorders>
              <w:top w:val="single" w:sz="8" w:space="0" w:color="1F4E79"/>
              <w:left w:val="single" w:sz="4" w:space="0" w:color="D3D3D3"/>
              <w:bottom w:val="single" w:sz="12" w:space="0" w:color="1F4E79"/>
              <w:right w:val="single" w:sz="4" w:space="0" w:color="D3D3D3"/>
            </w:tcBorders>
          </w:tcPr>
          <w:p>
            <w:pPr>
              <w:spacing w:before="80" w:after="80" w:line="276" w:lineRule="auto"/>
              <w:jc w:val="right"/>
              <w:bidi w:val="1"/>
            </w:pPr>
            <w:r>
              <w:rPr>
                <w:rFonts w:ascii="Calibri" w:hAnsi="Calibri"/>
                <w:b/>
                <w:color w:val="FFFFFF"/>
                <w:sz w:val="22"/>
                <w:rtl w:val="1"/>
              </w:rPr>
              <w:t>الوظيفة الأساسية</w:t>
            </w:r>
          </w:p>
        </w:tc>
        <w:tc>
          <w:tcPr>
            <w:tcW w:type="dxa" w:w="3960"/>
            <w:shd w:fill="1F4E79"/>
            <w:tcMar>
              <w:top w:w="120" w:type="dxa"/>
              <w:bottom w:w="120" w:type="dxa"/>
              <w:left w:w="150" w:type="dxa"/>
              <w:right w:w="150" w:type="dxa"/>
            </w:tcMar>
            <w:tcBorders>
              <w:top w:val="single" w:sz="8" w:space="0" w:color="1F4E79"/>
              <w:left w:val="single" w:sz="4" w:space="0" w:color="D3D3D3"/>
              <w:bottom w:val="single" w:sz="12" w:space="0" w:color="1F4E79"/>
              <w:right w:val="single" w:sz="4" w:space="0" w:color="D3D3D3"/>
            </w:tcBorders>
          </w:tcPr>
          <w:p>
            <w:pPr>
              <w:spacing w:before="80" w:after="80" w:line="276" w:lineRule="auto"/>
              <w:jc w:val="right"/>
              <w:bidi w:val="1"/>
            </w:pPr>
            <w:r>
              <w:rPr>
                <w:rFonts w:ascii="Calibri" w:hAnsi="Calibri"/>
                <w:b/>
                <w:color w:val="FFFFFF"/>
                <w:sz w:val="22"/>
                <w:rtl w:val="1"/>
              </w:rPr>
              <w:t>الكلمات المفتاحية في السؤال (Triggers)</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AWS IAM</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إدارة المستخدمين والمجموعات والصلاحيات ومفاتيح الوصول للدخول إلى موارد AWS.</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Users, Groups, Roles, Policies, MFA, Principle of least privilege, control access to resources</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AWS Shield</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حماية التطبيقات والمواقع السحابية من هجمات الحرمان من الخدمة الموزعة (DDoS).</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DDoS protection, Shield Standard (free), Shield Advanced (paid guarantee)</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AWS WAF</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جدار حماية تطبيقات الويب لحماية الموقع من الثغرات البرمجية وحظر عناوين IP معينة.</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SQL Injection protection, XSS protection, Web Application Firewall, Layer 7 security, block IP/countries</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Amazon Inspector</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فاحص أمني تلقائي يبحث عن الثغرات الأمنية في خوادم EC2 وحاويات ECR وكود Lambda.</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Vulnerability scanner, security assessment, software flaws, CVEs, EC2 package inspection</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Amazon GuardDuty</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خدمة ذكاء اصطناعي تراقب الحساب باستمرار لاكتشاف أي هجمات أو سلوك مريب.</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Intelligent threat detection, continuous monitoring, malicious activity, uses VPC Flow Logs/DNS Logs</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AWS KMS</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إنشاء وإدارة مفاتيح التشفير المستخدمة لتشفر البيانات في خدمات AWS المختلفة.</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Encryption keys, manage cryptographic keys, envelope encryption, customer managed keys</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AWS Secrets Manager</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تخزين وإدارة كلمات المرور وقواعد البيانات والـ API Keys مع إمكانية تغييرها دورياً وتلقائياً.</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Rotate credentials automatically, store DB passwords, secret rotation schedule</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AWS Artifact</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بوابة مجانية للحصول على تقارير الامثال وشهادات الأمان العالمية الخاصة بـ AWS كشرك.</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Compliance reports, download audit certificates, SOC reports, ISO certificates, agreement templates</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AWS Trusted Advisor</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مستشار رقمي يفحص حسابك ويقدم نصائح لتحسين التكلفة والأمن والسرعة والاعتمادية.</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5 pillars recommendations: Cost optimization, Security, Fault Tolerance, Performance, Service Limits</w:t>
            </w:r>
          </w:p>
        </w:tc>
      </w:tr>
    </w:tbl>
    <w:p/>
    <w:p>
      <w:pPr>
        <w:keepNext/>
        <w:spacing w:before="280" w:after="80"/>
        <w:jc w:val="right"/>
        <w:bidi w:val="1"/>
      </w:pPr>
      <w:r>
        <w:rPr>
          <w:rFonts w:ascii="Calibri" w:hAnsi="Calibri"/>
          <w:b/>
          <w:color w:val="2F5597"/>
          <w:sz w:val="26"/>
          <w:rtl w:val="1"/>
        </w:rPr>
        <w:t>سادساً: الإدارة والامتثال والمراقبة (Management &amp; Governance)</w:t>
      </w:r>
    </w:p>
    <w:tbl>
      <w:tblPr>
        <w:tblW w:type="auto" w:w="0"/>
        <w:jc w:val="center"/>
        <w:tblLayout w:type="fixed"/>
        <w:tblLook w:firstColumn="1" w:firstRow="1" w:lastColumn="0" w:lastRow="0" w:noHBand="0" w:noVBand="1" w:val="04A0"/>
        <w:bidiVisual w:val="1"/>
      </w:tblPr>
      <w:tblGrid>
        <w:gridCol w:w="3120"/>
        <w:gridCol w:w="3120"/>
        <w:gridCol w:w="3120"/>
      </w:tblGrid>
      <w:tr>
        <w:tc>
          <w:tcPr>
            <w:tcW w:type="dxa" w:w="2160"/>
            <w:shd w:fill="1F4E79"/>
            <w:tcMar>
              <w:top w:w="120" w:type="dxa"/>
              <w:bottom w:w="120" w:type="dxa"/>
              <w:left w:w="150" w:type="dxa"/>
              <w:right w:w="150" w:type="dxa"/>
            </w:tcMar>
            <w:tcBorders>
              <w:top w:val="single" w:sz="8" w:space="0" w:color="1F4E79"/>
              <w:left w:val="single" w:sz="4" w:space="0" w:color="D3D3D3"/>
              <w:bottom w:val="single" w:sz="12" w:space="0" w:color="1F4E79"/>
              <w:right w:val="single" w:sz="4" w:space="0" w:color="D3D3D3"/>
            </w:tcBorders>
          </w:tcPr>
          <w:p>
            <w:pPr>
              <w:spacing w:before="80" w:after="80" w:line="276" w:lineRule="auto"/>
              <w:jc w:val="right"/>
              <w:bidi w:val="1"/>
            </w:pPr>
            <w:r>
              <w:rPr>
                <w:rFonts w:ascii="Calibri" w:hAnsi="Calibri"/>
                <w:b/>
                <w:color w:val="FFFFFF"/>
                <w:sz w:val="22"/>
                <w:rtl w:val="1"/>
              </w:rPr>
              <w:t>الخدمة (Service)</w:t>
            </w:r>
          </w:p>
        </w:tc>
        <w:tc>
          <w:tcPr>
            <w:tcW w:type="dxa" w:w="3240"/>
            <w:shd w:fill="1F4E79"/>
            <w:tcMar>
              <w:top w:w="120" w:type="dxa"/>
              <w:bottom w:w="120" w:type="dxa"/>
              <w:left w:w="150" w:type="dxa"/>
              <w:right w:w="150" w:type="dxa"/>
            </w:tcMar>
            <w:tcBorders>
              <w:top w:val="single" w:sz="8" w:space="0" w:color="1F4E79"/>
              <w:left w:val="single" w:sz="4" w:space="0" w:color="D3D3D3"/>
              <w:bottom w:val="single" w:sz="12" w:space="0" w:color="1F4E79"/>
              <w:right w:val="single" w:sz="4" w:space="0" w:color="D3D3D3"/>
            </w:tcBorders>
          </w:tcPr>
          <w:p>
            <w:pPr>
              <w:spacing w:before="80" w:after="80" w:line="276" w:lineRule="auto"/>
              <w:jc w:val="right"/>
              <w:bidi w:val="1"/>
            </w:pPr>
            <w:r>
              <w:rPr>
                <w:rFonts w:ascii="Calibri" w:hAnsi="Calibri"/>
                <w:b/>
                <w:color w:val="FFFFFF"/>
                <w:sz w:val="22"/>
                <w:rtl w:val="1"/>
              </w:rPr>
              <w:t>الوظيفة الأساسية</w:t>
            </w:r>
          </w:p>
        </w:tc>
        <w:tc>
          <w:tcPr>
            <w:tcW w:type="dxa" w:w="3960"/>
            <w:shd w:fill="1F4E79"/>
            <w:tcMar>
              <w:top w:w="120" w:type="dxa"/>
              <w:bottom w:w="120" w:type="dxa"/>
              <w:left w:w="150" w:type="dxa"/>
              <w:right w:w="150" w:type="dxa"/>
            </w:tcMar>
            <w:tcBorders>
              <w:top w:val="single" w:sz="8" w:space="0" w:color="1F4E79"/>
              <w:left w:val="single" w:sz="4" w:space="0" w:color="D3D3D3"/>
              <w:bottom w:val="single" w:sz="12" w:space="0" w:color="1F4E79"/>
              <w:right w:val="single" w:sz="4" w:space="0" w:color="D3D3D3"/>
            </w:tcBorders>
          </w:tcPr>
          <w:p>
            <w:pPr>
              <w:spacing w:before="80" w:after="80" w:line="276" w:lineRule="auto"/>
              <w:jc w:val="right"/>
              <w:bidi w:val="1"/>
            </w:pPr>
            <w:r>
              <w:rPr>
                <w:rFonts w:ascii="Calibri" w:hAnsi="Calibri"/>
                <w:b/>
                <w:color w:val="FFFFFF"/>
                <w:sz w:val="22"/>
                <w:rtl w:val="1"/>
              </w:rPr>
              <w:t>الكلمات المفتاحية في السؤال (Triggers)</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Amazon CloudWatch</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مراقبة وجمع بيانات الأداء (Metrics) وسجلات العمليات (Logs) وإرسال التنبيهات (Alarms).</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Metrics, performance logs, CPU utilization alarm, resource monitoring, dashboards</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AWS CloudTrail</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تسجيل وتدقيق جميع العمليات والنداءات البرمجية (API) التي تمت في الحساب لمعرفة 'من فعل ماذا'.</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Audit API calls, track user activity, governance, compliance auditing, who took this action</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AWS CloudFormation</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إنشاء البنية التحتية عن طريق كتابة كود (IaC) في ملفات نصية JSON أو YAML.</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Infrastructure as Code (IaC), templates (YAML/JSON), automate resource creation, declarative provisioning</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AWS Systems Manager (SSM)</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إدارة وتحديث مجموعة من خوادم EC2 دفعة واحدة والتحكم بها عن بُعد.</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Patch manager, run command on EC2 instances, central operational hub, Parameter Store</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AWS Config</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مراقبة وتسجيل التغييرات في إعدادات الموارد وتقييم مدى مطابقتها للسياسات المقررة.</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Audit resource configurations, compliance history, track configuration changes over time</w:t>
            </w:r>
          </w:p>
        </w:tc>
      </w:tr>
      <w:tr>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AWS Organizations</w:t>
            </w:r>
          </w:p>
        </w:tc>
        <w:tc>
          <w:tcPr>
            <w:tcW w:type="dxa" w:w="324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إدارة مجموعة من حسابات AWS مركزياً وتجميع الفواتير في فاتورة واحدة.</w:t>
            </w:r>
          </w:p>
        </w:tc>
        <w:tc>
          <w:tcPr>
            <w:tcW w:type="dxa" w:w="39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Consolidated billing, Service Control Policies (SCPs), manage multiple AWS accounts, volume discounts</w:t>
            </w:r>
          </w:p>
        </w:tc>
      </w:tr>
    </w:tbl>
    <w:p/>
    <w:p>
      <w:pPr>
        <w:keepNext/>
        <w:spacing w:before="360" w:after="120"/>
        <w:jc w:val="right"/>
        <w:bidi w:val="1"/>
        <w:pBdr>
          <w:bottom w:val="single" w:sz="12" w:space="4" w:color="1F4E79"/>
        </w:pBdr>
      </w:pPr>
      <w:r>
        <w:rPr>
          <w:rFonts w:ascii="Calibri" w:hAnsi="Calibri"/>
          <w:b/>
          <w:color w:val="1F4E79"/>
          <w:sz w:val="32"/>
          <w:rtl w:val="1"/>
        </w:rPr>
        <w:t>6. إطار العمل المعماري المتميز لـ AWS (Well-Architected Framework)</w:t>
      </w:r>
    </w:p>
    <w:p>
      <w:pPr>
        <w:spacing w:before="0" w:after="120" w:line="276" w:lineRule="auto"/>
        <w:jc w:val="right"/>
        <w:bidi w:val="1"/>
      </w:pPr>
      <w:r>
        <w:rPr>
          <w:rFonts w:ascii="Calibri" w:hAnsi="Calibri"/>
          <w:b w:val="0"/>
          <w:color w:val="333333"/>
          <w:sz w:val="22"/>
          <w:rtl w:val="1"/>
        </w:rPr>
        <w:t xml:space="preserve">يساعد هذا الإطار مهندسي الحلول على تصميم وبناء بنية تحتية سحابية آمنة وعالية الأداء ومرنة وفعالة. يتكون من </w:t>
      </w:r>
      <w:r>
        <w:rPr>
          <w:rFonts w:ascii="Calibri" w:hAnsi="Calibri"/>
          <w:b/>
          <w:color w:val="1F4E79"/>
          <w:sz w:val="22"/>
          <w:rtl w:val="1"/>
        </w:rPr>
        <w:t>6 أعمدة رئيسية (6 Pillars)</w:t>
      </w:r>
      <w:r>
        <w:rPr>
          <w:rFonts w:ascii="Calibri" w:hAnsi="Calibri"/>
          <w:b w:val="0"/>
          <w:color w:val="333333"/>
          <w:sz w:val="22"/>
          <w:rtl w:val="1"/>
        </w:rPr>
        <w:t>:</w:t>
      </w:r>
    </w:p>
    <w:p>
      <w:pPr>
        <w:pStyle w:val="ListBullet"/>
        <w:spacing w:before="0" w:after="120" w:line="276" w:lineRule="auto"/>
        <w:jc w:val="right"/>
        <w:bidi w:val="1"/>
      </w:pPr>
      <w:r>
        <w:rPr>
          <w:rFonts w:ascii="Calibri" w:hAnsi="Calibri"/>
          <w:b w:val="0"/>
          <w:color w:val="333333"/>
          <w:sz w:val="22"/>
          <w:rtl w:val="1"/>
        </w:rPr>
        <w:t xml:space="preserve">1. </w:t>
      </w:r>
      <w:r>
        <w:rPr>
          <w:rFonts w:ascii="Calibri" w:hAnsi="Calibri"/>
          <w:b/>
          <w:color w:val="1F4E79"/>
          <w:sz w:val="22"/>
          <w:rtl w:val="1"/>
        </w:rPr>
        <w:t>التميز التشغيلي (Operational Excellence)</w:t>
      </w:r>
      <w:r>
        <w:rPr>
          <w:rFonts w:ascii="Calibri" w:hAnsi="Calibri"/>
          <w:b w:val="0"/>
          <w:color w:val="333333"/>
          <w:sz w:val="22"/>
          <w:rtl w:val="1"/>
        </w:rPr>
        <w:t>: التركيز على تشغيل ومراقبة الأنظمة لتقديم قيمة للأعمال، وتحسين الإجراءات باستمرار. (كلمات مفتاحية: *Perform operations as code*, *Make frequent small changes*, *Anticipate failure*).</w:t>
      </w:r>
    </w:p>
    <w:p>
      <w:pPr>
        <w:pStyle w:val="ListBullet"/>
        <w:spacing w:before="0" w:after="120" w:line="276" w:lineRule="auto"/>
        <w:jc w:val="right"/>
        <w:bidi w:val="1"/>
      </w:pPr>
      <w:r>
        <w:rPr>
          <w:rFonts w:ascii="Calibri" w:hAnsi="Calibri"/>
          <w:b w:val="0"/>
          <w:color w:val="333333"/>
          <w:sz w:val="22"/>
          <w:rtl w:val="1"/>
        </w:rPr>
        <w:t xml:space="preserve">2. </w:t>
      </w:r>
      <w:r>
        <w:rPr>
          <w:rFonts w:ascii="Calibri" w:hAnsi="Calibri"/>
          <w:b/>
          <w:color w:val="1F4E79"/>
          <w:sz w:val="22"/>
          <w:rtl w:val="1"/>
        </w:rPr>
        <w:t>الأمن (Security)</w:t>
      </w:r>
      <w:r>
        <w:rPr>
          <w:rFonts w:ascii="Calibri" w:hAnsi="Calibri"/>
          <w:b w:val="0"/>
          <w:color w:val="333333"/>
          <w:sz w:val="22"/>
          <w:rtl w:val="1"/>
        </w:rPr>
        <w:t>: حماية المعلومات والأنظمة والأصول مع تقييم المخاطر وتطبيق تدابير الحماية. (كلمات مفتاحية: *Apply security at all layers*, *Enable traceability*, *Principle of least privilege*).</w:t>
      </w:r>
    </w:p>
    <w:p>
      <w:pPr>
        <w:pStyle w:val="ListBullet"/>
        <w:spacing w:before="0" w:after="120" w:line="276" w:lineRule="auto"/>
        <w:jc w:val="right"/>
        <w:bidi w:val="1"/>
      </w:pPr>
      <w:r>
        <w:rPr>
          <w:rFonts w:ascii="Calibri" w:hAnsi="Calibri"/>
          <w:b w:val="0"/>
          <w:color w:val="333333"/>
          <w:sz w:val="22"/>
          <w:rtl w:val="1"/>
        </w:rPr>
        <w:t xml:space="preserve">3. </w:t>
      </w:r>
      <w:r>
        <w:rPr>
          <w:rFonts w:ascii="Calibri" w:hAnsi="Calibri"/>
          <w:b/>
          <w:color w:val="1F4E79"/>
          <w:sz w:val="22"/>
          <w:rtl w:val="1"/>
        </w:rPr>
        <w:t>الاعتمادية (Reliability)</w:t>
      </w:r>
      <w:r>
        <w:rPr>
          <w:rFonts w:ascii="Calibri" w:hAnsi="Calibri"/>
          <w:b w:val="0"/>
          <w:color w:val="333333"/>
          <w:sz w:val="22"/>
          <w:rtl w:val="1"/>
        </w:rPr>
        <w:t>: قدرة النظام على العمل بشكل صحيح والتعافي السريع من الانقطاعات وحل مشاكل العتاد ديناميكياً. (كلمات مفتاحية: *Automatically recover from failure*, *Test recovery procedures*, *Scale horizontally*).</w:t>
      </w:r>
    </w:p>
    <w:p>
      <w:pPr>
        <w:pStyle w:val="ListBullet"/>
        <w:spacing w:before="0" w:after="120" w:line="276" w:lineRule="auto"/>
        <w:jc w:val="right"/>
        <w:bidi w:val="1"/>
      </w:pPr>
      <w:r>
        <w:rPr>
          <w:rFonts w:ascii="Calibri" w:hAnsi="Calibri"/>
          <w:b w:val="0"/>
          <w:color w:val="333333"/>
          <w:sz w:val="22"/>
          <w:rtl w:val="1"/>
        </w:rPr>
        <w:t xml:space="preserve">4. </w:t>
      </w:r>
      <w:r>
        <w:rPr>
          <w:rFonts w:ascii="Calibri" w:hAnsi="Calibri"/>
          <w:b/>
          <w:color w:val="1F4E79"/>
          <w:sz w:val="22"/>
          <w:rtl w:val="1"/>
        </w:rPr>
        <w:t>كفاءة الأداء (Performance Efficiency)</w:t>
      </w:r>
      <w:r>
        <w:rPr>
          <w:rFonts w:ascii="Calibri" w:hAnsi="Calibri"/>
          <w:b w:val="0"/>
          <w:color w:val="333333"/>
          <w:sz w:val="22"/>
          <w:rtl w:val="1"/>
        </w:rPr>
        <w:t>: استخدام الموارد التقنية بكفاءة لتلبية متطلبات النظام والحفاظ على هذه الكفاءة مع تغير الطلب. (كلمات مفتاحية: *Democratize advanced technologies*, *Go global in minutes*, *Serverless architectures*).</w:t>
      </w:r>
    </w:p>
    <w:p>
      <w:pPr>
        <w:pStyle w:val="ListBullet"/>
        <w:spacing w:before="0" w:after="120" w:line="276" w:lineRule="auto"/>
        <w:jc w:val="right"/>
        <w:bidi w:val="1"/>
      </w:pPr>
      <w:r>
        <w:rPr>
          <w:rFonts w:ascii="Calibri" w:hAnsi="Calibri"/>
          <w:b w:val="0"/>
          <w:color w:val="333333"/>
          <w:sz w:val="22"/>
          <w:rtl w:val="1"/>
        </w:rPr>
        <w:t xml:space="preserve">5. </w:t>
      </w:r>
      <w:r>
        <w:rPr>
          <w:rFonts w:ascii="Calibri" w:hAnsi="Calibri"/>
          <w:b/>
          <w:color w:val="1F4E79"/>
          <w:sz w:val="22"/>
          <w:rtl w:val="1"/>
        </w:rPr>
        <w:t>تحسين التكلفة (Cost Optimization)</w:t>
      </w:r>
      <w:r>
        <w:rPr>
          <w:rFonts w:ascii="Calibri" w:hAnsi="Calibri"/>
          <w:b w:val="0"/>
          <w:color w:val="333333"/>
          <w:sz w:val="22"/>
          <w:rtl w:val="1"/>
        </w:rPr>
        <w:t>: تجنب النفقات غير الضرورية والدفع فقط مقابل ما يفيد عملك بالفعل. (كلمات مفتاحية: *Implement Cloud Financial Management*, *Adopt a consumption model*, *Analyze and attribute expenditure*).</w:t>
      </w:r>
    </w:p>
    <w:p>
      <w:pPr>
        <w:pStyle w:val="ListBullet"/>
        <w:spacing w:before="0" w:after="120" w:line="276" w:lineRule="auto"/>
        <w:jc w:val="right"/>
        <w:bidi w:val="1"/>
      </w:pPr>
      <w:r>
        <w:rPr>
          <w:rFonts w:ascii="Calibri" w:hAnsi="Calibri"/>
          <w:b w:val="0"/>
          <w:color w:val="333333"/>
          <w:sz w:val="22"/>
          <w:rtl w:val="1"/>
        </w:rPr>
        <w:t xml:space="preserve">6. </w:t>
      </w:r>
      <w:r>
        <w:rPr>
          <w:rFonts w:ascii="Calibri" w:hAnsi="Calibri"/>
          <w:b/>
          <w:color w:val="1F4E79"/>
          <w:sz w:val="22"/>
          <w:rtl w:val="1"/>
        </w:rPr>
        <w:t>الاستدامة (Sustainability)</w:t>
      </w:r>
      <w:r>
        <w:rPr>
          <w:rFonts w:ascii="Calibri" w:hAnsi="Calibri"/>
          <w:b w:val="0"/>
          <w:color w:val="333333"/>
          <w:sz w:val="22"/>
          <w:rtl w:val="1"/>
        </w:rPr>
        <w:t>: تقليل الآثار البيئية لتشغيل الخدمات السحابية (كفاءة استهلاك الطاقة والعتاد). (كلمات مفتاحية: *Minimize environmental impact*, *Maximize utilization*).</w:t>
      </w:r>
    </w:p>
    <w:p>
      <w:pPr>
        <w:keepNext/>
        <w:spacing w:before="360" w:after="120"/>
        <w:jc w:val="right"/>
        <w:bidi w:val="1"/>
        <w:pBdr>
          <w:bottom w:val="single" w:sz="12" w:space="4" w:color="1F4E79"/>
        </w:pBdr>
      </w:pPr>
      <w:r>
        <w:rPr>
          <w:rFonts w:ascii="Calibri" w:hAnsi="Calibri"/>
          <w:b/>
          <w:color w:val="1F4E79"/>
          <w:sz w:val="32"/>
          <w:rtl w:val="1"/>
        </w:rPr>
        <w:t>7. الفواتير، التسعير وخطط الدعم (Billing, Pricing &amp; Support)</w:t>
      </w:r>
    </w:p>
    <w:p>
      <w:pPr>
        <w:spacing w:before="0" w:after="120" w:line="276" w:lineRule="auto"/>
        <w:jc w:val="right"/>
        <w:bidi w:val="1"/>
      </w:pPr>
      <w:r>
        <w:rPr>
          <w:rFonts w:ascii="Calibri" w:hAnsi="Calibri"/>
          <w:b w:val="0"/>
          <w:color w:val="333333"/>
          <w:sz w:val="22"/>
          <w:rtl w:val="1"/>
        </w:rPr>
        <w:t>هناك قواعد محددة لتسعير خدمات AWS:</w:t>
      </w:r>
    </w:p>
    <w:p>
      <w:pPr>
        <w:spacing w:before="0" w:after="120" w:line="276" w:lineRule="auto"/>
        <w:jc w:val="right"/>
        <w:bidi w:val="1"/>
      </w:pPr>
      <w:r>
        <w:rPr>
          <w:rFonts w:ascii="Calibri" w:hAnsi="Calibri"/>
          <w:b w:val="0"/>
          <w:color w:val="333333"/>
          <w:sz w:val="22"/>
          <w:rtl w:val="1"/>
        </w:rPr>
        <w:t xml:space="preserve">• </w:t>
      </w:r>
      <w:r>
        <w:rPr>
          <w:rFonts w:ascii="Calibri" w:hAnsi="Calibri"/>
          <w:b/>
          <w:color w:val="1F4E79"/>
          <w:sz w:val="22"/>
          <w:rtl w:val="1"/>
        </w:rPr>
        <w:t>نموذج الدفع حسب الاستخدام (Pay-as-you-go)</w:t>
      </w:r>
      <w:r>
        <w:rPr>
          <w:rFonts w:ascii="Calibri" w:hAnsi="Calibri"/>
          <w:b w:val="0"/>
          <w:color w:val="333333"/>
          <w:sz w:val="22"/>
          <w:rtl w:val="1"/>
        </w:rPr>
        <w:t>: تدفع فقط مقابل الخدمات التي تستخدمها فعلياً دون عقود طويلة المدى (باستثناء الخيارات المحجوزة).</w:t>
      </w:r>
    </w:p>
    <w:p>
      <w:pPr>
        <w:spacing w:before="0" w:after="120" w:line="276" w:lineRule="auto"/>
        <w:jc w:val="right"/>
        <w:bidi w:val="1"/>
      </w:pPr>
      <w:r>
        <w:rPr>
          <w:rFonts w:ascii="Calibri" w:hAnsi="Calibri"/>
          <w:b w:val="0"/>
          <w:color w:val="333333"/>
          <w:sz w:val="22"/>
          <w:rtl w:val="1"/>
        </w:rPr>
        <w:t xml:space="preserve">• </w:t>
      </w:r>
      <w:r>
        <w:rPr>
          <w:rFonts w:ascii="Calibri" w:hAnsi="Calibri"/>
          <w:b/>
          <w:color w:val="1F4E79"/>
          <w:sz w:val="22"/>
          <w:rtl w:val="1"/>
        </w:rPr>
        <w:t>نماذج تسعير EC2 (EC2 Pricing Models)</w:t>
      </w:r>
      <w:r>
        <w:rPr>
          <w:rFonts w:ascii="Calibri" w:hAnsi="Calibri"/>
          <w:b w:val="0"/>
          <w:color w:val="333333"/>
          <w:sz w:val="22"/>
          <w:rtl w:val="1"/>
        </w:rPr>
        <w:t>:</w:t>
      </w:r>
    </w:p>
    <w:p>
      <w:pPr>
        <w:pStyle w:val="ListBullet"/>
        <w:spacing w:before="0" w:after="120" w:line="276" w:lineRule="auto"/>
        <w:jc w:val="right"/>
        <w:bidi w:val="1"/>
      </w:pPr>
      <w:r>
        <w:rPr>
          <w:rFonts w:ascii="Calibri" w:hAnsi="Calibri"/>
          <w:b w:val="0"/>
          <w:color w:val="333333"/>
          <w:sz w:val="22"/>
          <w:rtl w:val="1"/>
        </w:rPr>
        <w:t xml:space="preserve">  - </w:t>
      </w:r>
      <w:r>
        <w:rPr>
          <w:rFonts w:ascii="Calibri" w:hAnsi="Calibri"/>
          <w:b/>
          <w:color w:val="1F4E79"/>
          <w:sz w:val="22"/>
          <w:rtl w:val="1"/>
        </w:rPr>
        <w:t>On-Demand</w:t>
      </w:r>
      <w:r>
        <w:rPr>
          <w:rFonts w:ascii="Calibri" w:hAnsi="Calibri"/>
          <w:b w:val="0"/>
          <w:color w:val="333333"/>
          <w:sz w:val="22"/>
          <w:rtl w:val="1"/>
        </w:rPr>
        <w:t>: دفع بالثانية أو الساعة. مرن جداً ومناسب للتطبيقات قصيرة الأجل ولا توجد التزامات مقدماً. هو الخيار الأعلى سعراً.</w:t>
      </w:r>
    </w:p>
    <w:p>
      <w:pPr>
        <w:pStyle w:val="ListBullet"/>
        <w:spacing w:before="0" w:after="120" w:line="276" w:lineRule="auto"/>
        <w:jc w:val="right"/>
        <w:bidi w:val="1"/>
      </w:pPr>
      <w:r>
        <w:rPr>
          <w:rFonts w:ascii="Calibri" w:hAnsi="Calibri"/>
          <w:b w:val="0"/>
          <w:color w:val="333333"/>
          <w:sz w:val="22"/>
          <w:rtl w:val="1"/>
        </w:rPr>
        <w:t xml:space="preserve">  - </w:t>
      </w:r>
      <w:r>
        <w:rPr>
          <w:rFonts w:ascii="Calibri" w:hAnsi="Calibri"/>
          <w:b/>
          <w:color w:val="1F4E79"/>
          <w:sz w:val="22"/>
          <w:rtl w:val="1"/>
        </w:rPr>
        <w:t>Reserved Instances (RIs)</w:t>
      </w:r>
      <w:r>
        <w:rPr>
          <w:rFonts w:ascii="Calibri" w:hAnsi="Calibri"/>
          <w:b w:val="0"/>
          <w:color w:val="333333"/>
          <w:sz w:val="22"/>
          <w:rtl w:val="1"/>
        </w:rPr>
        <w:t>: التزام بمدة سنة أو 3 سنوات. يعطي خصومات تصل لـ 72%. مناسب للتطبيقات ذات الاستهلاك الثابت والمعروف (Steady-state).</w:t>
      </w:r>
    </w:p>
    <w:p>
      <w:pPr>
        <w:pStyle w:val="ListBullet"/>
        <w:spacing w:before="0" w:after="120" w:line="276" w:lineRule="auto"/>
        <w:jc w:val="right"/>
        <w:bidi w:val="1"/>
      </w:pPr>
      <w:r>
        <w:rPr>
          <w:rFonts w:ascii="Calibri" w:hAnsi="Calibri"/>
          <w:b w:val="0"/>
          <w:color w:val="333333"/>
          <w:sz w:val="22"/>
          <w:rtl w:val="1"/>
        </w:rPr>
        <w:t xml:space="preserve">  - </w:t>
      </w:r>
      <w:r>
        <w:rPr>
          <w:rFonts w:ascii="Calibri" w:hAnsi="Calibri"/>
          <w:b/>
          <w:color w:val="1F4E79"/>
          <w:sz w:val="22"/>
          <w:rtl w:val="1"/>
        </w:rPr>
        <w:t>Savings Plans</w:t>
      </w:r>
      <w:r>
        <w:rPr>
          <w:rFonts w:ascii="Calibri" w:hAnsi="Calibri"/>
          <w:b w:val="0"/>
          <w:color w:val="333333"/>
          <w:sz w:val="22"/>
          <w:rtl w:val="1"/>
        </w:rPr>
        <w:t>: التزام بدفع مبلغ محدد بالساعة (مثلاً 10 دولارات/ساعة) لمدة سنة أو 3 سنوات. مرن جداً ويغطي أنواعاً متعددة من خيارات الحوسبة (EC2, Fargate, Lambda).</w:t>
      </w:r>
    </w:p>
    <w:p>
      <w:pPr>
        <w:pStyle w:val="ListBullet"/>
        <w:spacing w:before="0" w:after="120" w:line="276" w:lineRule="auto"/>
        <w:jc w:val="right"/>
        <w:bidi w:val="1"/>
      </w:pPr>
      <w:r>
        <w:rPr>
          <w:rFonts w:ascii="Calibri" w:hAnsi="Calibri"/>
          <w:b w:val="0"/>
          <w:color w:val="333333"/>
          <w:sz w:val="22"/>
          <w:rtl w:val="1"/>
        </w:rPr>
        <w:t xml:space="preserve">  - </w:t>
      </w:r>
      <w:r>
        <w:rPr>
          <w:rFonts w:ascii="Calibri" w:hAnsi="Calibri"/>
          <w:b/>
          <w:color w:val="1F4E79"/>
          <w:sz w:val="22"/>
          <w:rtl w:val="1"/>
        </w:rPr>
        <w:t>Spot Instances</w:t>
      </w:r>
      <w:r>
        <w:rPr>
          <w:rFonts w:ascii="Calibri" w:hAnsi="Calibri"/>
          <w:b w:val="0"/>
          <w:color w:val="333333"/>
          <w:sz w:val="22"/>
          <w:rtl w:val="1"/>
        </w:rPr>
        <w:t>: شراء سعة الحوسبة الفائضة والغير مستغلة لدى AWS بخصومات ضخمة تصل لـ 90%. العيب الوحيد: يمكن لـ AWS إنهاء السيرفر في أي وقت (خلال دقيقتين إنذار) إذا احتاجت للسعة. مناسب للعمليات التي تتحمل المقاطعة (Batch processing).</w:t>
      </w:r>
    </w:p>
    <w:p>
      <w:pPr>
        <w:pStyle w:val="ListBullet"/>
        <w:spacing w:before="0" w:after="120" w:line="276" w:lineRule="auto"/>
        <w:jc w:val="right"/>
        <w:bidi w:val="1"/>
      </w:pPr>
      <w:r>
        <w:rPr>
          <w:rFonts w:ascii="Calibri" w:hAnsi="Calibri"/>
          <w:b w:val="0"/>
          <w:color w:val="333333"/>
          <w:sz w:val="22"/>
          <w:rtl w:val="1"/>
        </w:rPr>
        <w:t xml:space="preserve">  - </w:t>
      </w:r>
      <w:r>
        <w:rPr>
          <w:rFonts w:ascii="Calibri" w:hAnsi="Calibri"/>
          <w:b/>
          <w:color w:val="1F4E79"/>
          <w:sz w:val="22"/>
          <w:rtl w:val="1"/>
        </w:rPr>
        <w:t>Dedicated Hosts</w:t>
      </w:r>
      <w:r>
        <w:rPr>
          <w:rFonts w:ascii="Calibri" w:hAnsi="Calibri"/>
          <w:b w:val="0"/>
          <w:color w:val="333333"/>
          <w:sz w:val="22"/>
          <w:rtl w:val="1"/>
        </w:rPr>
        <w:t>: سيرفر فيزيائي مخصص بالكامل لك. مناسب للمتطلبات الأمنية الصارمة أو عند استخدام تراخيص برمجية محددة مرتبطة بالعتاد الفيزيائي (BYOL). وهو الخيار الأغلى.</w:t>
      </w:r>
    </w:p>
    <w:p>
      <w:pPr>
        <w:keepNext/>
        <w:spacing w:before="280" w:after="80"/>
        <w:jc w:val="right"/>
        <w:bidi w:val="1"/>
      </w:pPr>
      <w:r>
        <w:rPr>
          <w:rFonts w:ascii="Calibri" w:hAnsi="Calibri"/>
          <w:b/>
          <w:color w:val="2F5597"/>
          <w:sz w:val="26"/>
          <w:rtl w:val="1"/>
        </w:rPr>
        <w:t>أدوات إدارة التكلفة والفوترة:</w:t>
      </w:r>
    </w:p>
    <w:tbl>
      <w:tblPr>
        <w:tblW w:type="auto" w:w="0"/>
        <w:jc w:val="center"/>
        <w:tblLayout w:type="fixed"/>
        <w:tblLook w:firstColumn="1" w:firstRow="1" w:lastColumn="0" w:lastRow="0" w:noHBand="0" w:noVBand="1" w:val="04A0"/>
        <w:bidiVisual w:val="1"/>
      </w:tblPr>
      <w:tblGrid>
        <w:gridCol w:w="3120"/>
        <w:gridCol w:w="3120"/>
        <w:gridCol w:w="3120"/>
      </w:tblGrid>
      <w:tr>
        <w:tc>
          <w:tcPr>
            <w:tcW w:type="dxa" w:w="2880"/>
            <w:shd w:fill="1F4E79"/>
            <w:tcMar>
              <w:top w:w="120" w:type="dxa"/>
              <w:bottom w:w="120" w:type="dxa"/>
              <w:left w:w="150" w:type="dxa"/>
              <w:right w:w="150" w:type="dxa"/>
            </w:tcMar>
            <w:tcBorders>
              <w:top w:val="single" w:sz="8" w:space="0" w:color="1F4E79"/>
              <w:left w:val="single" w:sz="4" w:space="0" w:color="D3D3D3"/>
              <w:bottom w:val="single" w:sz="12" w:space="0" w:color="1F4E79"/>
              <w:right w:val="single" w:sz="4" w:space="0" w:color="D3D3D3"/>
            </w:tcBorders>
          </w:tcPr>
          <w:p>
            <w:pPr>
              <w:spacing w:before="80" w:after="80" w:line="276" w:lineRule="auto"/>
              <w:jc w:val="right"/>
              <w:bidi w:val="1"/>
            </w:pPr>
            <w:r>
              <w:rPr>
                <w:rFonts w:ascii="Calibri" w:hAnsi="Calibri"/>
                <w:b/>
                <w:color w:val="FFFFFF"/>
                <w:sz w:val="22"/>
                <w:rtl w:val="1"/>
              </w:rPr>
              <w:t>الأداة (Tool)</w:t>
            </w:r>
          </w:p>
        </w:tc>
        <w:tc>
          <w:tcPr>
            <w:tcW w:type="dxa" w:w="2880"/>
            <w:shd w:fill="1F4E79"/>
            <w:tcMar>
              <w:top w:w="120" w:type="dxa"/>
              <w:bottom w:w="120" w:type="dxa"/>
              <w:left w:w="150" w:type="dxa"/>
              <w:right w:w="150" w:type="dxa"/>
            </w:tcMar>
            <w:tcBorders>
              <w:top w:val="single" w:sz="8" w:space="0" w:color="1F4E79"/>
              <w:left w:val="single" w:sz="4" w:space="0" w:color="D3D3D3"/>
              <w:bottom w:val="single" w:sz="12" w:space="0" w:color="1F4E79"/>
              <w:right w:val="single" w:sz="4" w:space="0" w:color="D3D3D3"/>
            </w:tcBorders>
          </w:tcPr>
          <w:p>
            <w:pPr>
              <w:spacing w:before="80" w:after="80" w:line="276" w:lineRule="auto"/>
              <w:jc w:val="right"/>
              <w:bidi w:val="1"/>
            </w:pPr>
            <w:r>
              <w:rPr>
                <w:rFonts w:ascii="Calibri" w:hAnsi="Calibri"/>
                <w:b/>
                <w:color w:val="FFFFFF"/>
                <w:sz w:val="22"/>
                <w:rtl w:val="1"/>
              </w:rPr>
              <w:t>الوظيفة الأساسية</w:t>
            </w:r>
          </w:p>
        </w:tc>
        <w:tc>
          <w:tcPr>
            <w:tcW w:type="dxa" w:w="3600"/>
            <w:shd w:fill="1F4E79"/>
            <w:tcMar>
              <w:top w:w="120" w:type="dxa"/>
              <w:bottom w:w="120" w:type="dxa"/>
              <w:left w:w="150" w:type="dxa"/>
              <w:right w:w="150" w:type="dxa"/>
            </w:tcMar>
            <w:tcBorders>
              <w:top w:val="single" w:sz="8" w:space="0" w:color="1F4E79"/>
              <w:left w:val="single" w:sz="4" w:space="0" w:color="D3D3D3"/>
              <w:bottom w:val="single" w:sz="12" w:space="0" w:color="1F4E79"/>
              <w:right w:val="single" w:sz="4" w:space="0" w:color="D3D3D3"/>
            </w:tcBorders>
          </w:tcPr>
          <w:p>
            <w:pPr>
              <w:spacing w:before="80" w:after="80" w:line="276" w:lineRule="auto"/>
              <w:jc w:val="right"/>
              <w:bidi w:val="1"/>
            </w:pPr>
            <w:r>
              <w:rPr>
                <w:rFonts w:ascii="Calibri" w:hAnsi="Calibri"/>
                <w:b/>
                <w:color w:val="FFFFFF"/>
                <w:sz w:val="22"/>
                <w:rtl w:val="1"/>
              </w:rPr>
              <w:t>الكلمة المفتاحية في السؤال (Triggers)</w:t>
            </w:r>
          </w:p>
        </w:tc>
      </w:tr>
      <w:tr>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AWS Pricing Calculator</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تقدير تكاليف الخدمات قبل حجزها أو إنشائها الفعلي لمشروع جديد.</w:t>
            </w:r>
          </w:p>
        </w:tc>
        <w:tc>
          <w:tcPr>
            <w:tcW w:type="dxa" w:w="360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Estimate cost before building, plan budget for new cloud project</w:t>
            </w:r>
          </w:p>
        </w:tc>
      </w:tr>
      <w:tr>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AWS Budgets</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وضع ميزانية وتنبيهات مخصصة تُرسل لك قبل أن تتجاوز التكلفة الحد المقرر (تنبيه تنبؤي).</w:t>
            </w:r>
          </w:p>
        </w:tc>
        <w:tc>
          <w:tcPr>
            <w:tcW w:type="dxa" w:w="360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Alert before cost is incurred, forecasted cost alerts, custom budget thresholds</w:t>
            </w:r>
          </w:p>
        </w:tc>
      </w:tr>
      <w:tr>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AWS Cost Explorer</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توضيح ورسم بياني للتكاليف السابقة والاستخدام الفعلي للتنبؤ بالشكل المستقبلي للتكلفة.</w:t>
            </w:r>
          </w:p>
        </w:tc>
        <w:tc>
          <w:tcPr>
            <w:tcW w:type="dxa" w:w="360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Visualize past and current costs, graph usage trends, forecast costs up to 12 months</w:t>
            </w:r>
          </w:p>
        </w:tc>
      </w:tr>
      <w:tr>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Consolidated Billing</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تجميع فواتير حسابات متعددة للشركة تحت حساب دفع رئيسي للاستفادة من خصم الكمية.</w:t>
            </w:r>
          </w:p>
        </w:tc>
        <w:tc>
          <w:tcPr>
            <w:tcW w:type="dxa" w:w="360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Volume discounts, single bill for multiple accounts, master account payer</w:t>
            </w:r>
          </w:p>
        </w:tc>
      </w:tr>
    </w:tbl>
    <w:p/>
    <w:p>
      <w:pPr>
        <w:keepNext/>
        <w:spacing w:before="280" w:after="80"/>
        <w:jc w:val="right"/>
        <w:bidi w:val="1"/>
      </w:pPr>
      <w:r>
        <w:rPr>
          <w:rFonts w:ascii="Calibri" w:hAnsi="Calibri"/>
          <w:b/>
          <w:color w:val="2F5597"/>
          <w:sz w:val="26"/>
          <w:rtl w:val="1"/>
        </w:rPr>
        <w:t>خطط الدعم الفني لـ AWS (AWS Support Plans):</w:t>
      </w:r>
    </w:p>
    <w:p>
      <w:pPr>
        <w:spacing w:before="0" w:after="120" w:line="276" w:lineRule="auto"/>
        <w:jc w:val="right"/>
        <w:bidi w:val="1"/>
      </w:pPr>
      <w:r>
        <w:rPr>
          <w:rFonts w:ascii="Calibri" w:hAnsi="Calibri"/>
          <w:b w:val="0"/>
          <w:color w:val="333333"/>
          <w:sz w:val="22"/>
          <w:rtl w:val="1"/>
        </w:rPr>
        <w:t>تأتي خطط الدعم في 4 فئات:</w:t>
      </w:r>
    </w:p>
    <w:tbl>
      <w:tblPr>
        <w:tblW w:type="auto" w:w="0"/>
        <w:jc w:val="center"/>
        <w:tblLayout w:type="fixed"/>
        <w:tblLook w:firstColumn="1" w:firstRow="1" w:lastColumn="0" w:lastRow="0" w:noHBand="0" w:noVBand="1" w:val="04A0"/>
        <w:bidiVisual w:val="1"/>
      </w:tblPr>
      <w:tblGrid>
        <w:gridCol w:w="3120"/>
        <w:gridCol w:w="3120"/>
        <w:gridCol w:w="3120"/>
      </w:tblGrid>
      <w:tr>
        <w:tc>
          <w:tcPr>
            <w:tcW w:type="dxa" w:w="1800"/>
            <w:shd w:fill="1F4E79"/>
            <w:tcMar>
              <w:top w:w="120" w:type="dxa"/>
              <w:bottom w:w="120" w:type="dxa"/>
              <w:left w:w="150" w:type="dxa"/>
              <w:right w:w="150" w:type="dxa"/>
            </w:tcMar>
            <w:tcBorders>
              <w:top w:val="single" w:sz="8" w:space="0" w:color="1F4E79"/>
              <w:left w:val="single" w:sz="4" w:space="0" w:color="D3D3D3"/>
              <w:bottom w:val="single" w:sz="12" w:space="0" w:color="1F4E79"/>
              <w:right w:val="single" w:sz="4" w:space="0" w:color="D3D3D3"/>
            </w:tcBorders>
          </w:tcPr>
          <w:p>
            <w:pPr>
              <w:spacing w:before="80" w:after="80" w:line="276" w:lineRule="auto"/>
              <w:jc w:val="right"/>
              <w:bidi w:val="1"/>
            </w:pPr>
            <w:r>
              <w:rPr>
                <w:rFonts w:ascii="Calibri" w:hAnsi="Calibri"/>
                <w:b/>
                <w:color w:val="FFFFFF"/>
                <w:sz w:val="22"/>
                <w:rtl w:val="1"/>
              </w:rPr>
              <w:t>الخطة (Plan)</w:t>
            </w:r>
          </w:p>
        </w:tc>
        <w:tc>
          <w:tcPr>
            <w:tcW w:type="dxa" w:w="5400"/>
            <w:shd w:fill="1F4E79"/>
            <w:tcMar>
              <w:top w:w="120" w:type="dxa"/>
              <w:bottom w:w="120" w:type="dxa"/>
              <w:left w:w="150" w:type="dxa"/>
              <w:right w:w="150" w:type="dxa"/>
            </w:tcMar>
            <w:tcBorders>
              <w:top w:val="single" w:sz="8" w:space="0" w:color="1F4E79"/>
              <w:left w:val="single" w:sz="4" w:space="0" w:color="D3D3D3"/>
              <w:bottom w:val="single" w:sz="12" w:space="0" w:color="1F4E79"/>
              <w:right w:val="single" w:sz="4" w:space="0" w:color="D3D3D3"/>
            </w:tcBorders>
          </w:tcPr>
          <w:p>
            <w:pPr>
              <w:spacing w:before="80" w:after="80" w:line="276" w:lineRule="auto"/>
              <w:jc w:val="right"/>
              <w:bidi w:val="1"/>
            </w:pPr>
            <w:r>
              <w:rPr>
                <w:rFonts w:ascii="Calibri" w:hAnsi="Calibri"/>
                <w:b/>
                <w:color w:val="FFFFFF"/>
                <w:sz w:val="22"/>
                <w:rtl w:val="1"/>
              </w:rPr>
              <w:t>الميزات الأساسية والوصول</w:t>
            </w:r>
          </w:p>
        </w:tc>
        <w:tc>
          <w:tcPr>
            <w:tcW w:type="dxa" w:w="2160"/>
            <w:shd w:fill="1F4E79"/>
            <w:tcMar>
              <w:top w:w="120" w:type="dxa"/>
              <w:bottom w:w="120" w:type="dxa"/>
              <w:left w:w="150" w:type="dxa"/>
              <w:right w:w="150" w:type="dxa"/>
            </w:tcMar>
            <w:tcBorders>
              <w:top w:val="single" w:sz="8" w:space="0" w:color="1F4E79"/>
              <w:left w:val="single" w:sz="4" w:space="0" w:color="D3D3D3"/>
              <w:bottom w:val="single" w:sz="12" w:space="0" w:color="1F4E79"/>
              <w:right w:val="single" w:sz="4" w:space="0" w:color="D3D3D3"/>
            </w:tcBorders>
          </w:tcPr>
          <w:p>
            <w:pPr>
              <w:spacing w:before="80" w:after="80" w:line="276" w:lineRule="auto"/>
              <w:jc w:val="right"/>
              <w:bidi w:val="1"/>
            </w:pPr>
            <w:r>
              <w:rPr>
                <w:rFonts w:ascii="Calibri" w:hAnsi="Calibri"/>
                <w:b/>
                <w:color w:val="FFFFFF"/>
                <w:sz w:val="22"/>
                <w:rtl w:val="1"/>
              </w:rPr>
              <w:t>زمن الاستجابة (Response Time)</w:t>
            </w:r>
          </w:p>
        </w:tc>
      </w:tr>
      <w:tr>
        <w:tc>
          <w:tcPr>
            <w:tcW w:type="dxa" w:w="180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Basic</w:t>
            </w:r>
          </w:p>
        </w:tc>
        <w:tc>
          <w:tcPr>
            <w:tcW w:type="dxa" w:w="540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مجانية للجميع. وصول لخدمة العملاء الخاصة بالفوترة والحساب فقط. فحص 7 خصائص أساسية في Trusted Advisor.</w:t>
            </w:r>
          </w:p>
        </w:tc>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لا يوجد دعم فني للمشاكل التقنية</w:t>
            </w:r>
          </w:p>
        </w:tc>
      </w:tr>
      <w:tr>
        <w:tc>
          <w:tcPr>
            <w:tcW w:type="dxa" w:w="180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Developer</w:t>
            </w:r>
          </w:p>
        </w:tc>
        <w:tc>
          <w:tcPr>
            <w:tcW w:type="dxa" w:w="540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تبدأ من 29 دولاراً/الشهر. وصول لمهندسي الدعم عبر البريد الإلكتروني خلال أوقات العمل الرسمية. شخص واحد مخول بفتح التذاكر.</w:t>
            </w:r>
          </w:p>
        </w:tc>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&lt; 24 ساعة للمسائل العامة</w:t>
              <w:br/>
              <w:t>&lt; 12 ساعة لنظام متعطل (Impaired system)</w:t>
            </w:r>
          </w:p>
        </w:tc>
      </w:tr>
      <w:tr>
        <w:tc>
          <w:tcPr>
            <w:tcW w:type="dxa" w:w="180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Business</w:t>
            </w:r>
          </w:p>
        </w:tc>
        <w:tc>
          <w:tcPr>
            <w:tcW w:type="dxa" w:w="540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تبدأ من 100 دولار/الشهر. دعم 24/7 عبر الهاتف والدردشة والبريد مع مهندسي دعم الحوسبة السحابية. عدد غير محدود من الأشخاص ووصول لكامل مزايا Trusted Advisor.</w:t>
            </w:r>
          </w:p>
        </w:tc>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&lt; 1 ساعة لتعطل جزء من النظام الرئيسي</w:t>
              <w:br/>
              <w:t>&lt; 4 ساعات لنظام معطل بالكامل</w:t>
            </w:r>
          </w:p>
        </w:tc>
      </w:tr>
      <w:tr>
        <w:tc>
          <w:tcPr>
            <w:tcW w:type="dxa" w:w="180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color w:val="1F4E79"/>
                <w:sz w:val="19"/>
                <w:rtl w:val="1"/>
              </w:rPr>
              <w:t>Enterprise</w:t>
            </w:r>
          </w:p>
        </w:tc>
        <w:tc>
          <w:tcPr>
            <w:tcW w:type="dxa" w:w="540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تبدأ من 15,000 دولار/الشهر. وصول مخصص لمدير دعم تقني (</w:t>
            </w:r>
            <w:r>
              <w:rPr>
                <w:rFonts w:ascii="Calibri" w:hAnsi="Calibri"/>
                <w:b/>
                <w:color w:val="1F4E79"/>
                <w:sz w:val="19"/>
                <w:rtl w:val="1"/>
              </w:rPr>
              <w:t>TAM - Technical Account Manager</w:t>
            </w:r>
            <w:r>
              <w:rPr>
                <w:rFonts w:ascii="Calibri" w:hAnsi="Calibri"/>
                <w:b w:val="0"/>
                <w:color w:val="333333"/>
                <w:sz w:val="19"/>
                <w:rtl w:val="1"/>
              </w:rPr>
              <w:t>) ومرشد الفواتير (</w:t>
            </w:r>
            <w:r>
              <w:rPr>
                <w:rFonts w:ascii="Calibri" w:hAnsi="Calibri"/>
                <w:b/>
                <w:color w:val="1F4E79"/>
                <w:sz w:val="19"/>
                <w:rtl w:val="1"/>
              </w:rPr>
              <w:t>Support Concierge</w:t>
            </w:r>
            <w:r>
              <w:rPr>
                <w:rFonts w:ascii="Calibri" w:hAnsi="Calibri"/>
                <w:b w:val="0"/>
                <w:color w:val="333333"/>
                <w:sz w:val="19"/>
                <w:rtl w:val="1"/>
              </w:rPr>
              <w:t>). دعم 24/7 من كبار المهندسين.</w:t>
            </w:r>
          </w:p>
        </w:tc>
        <w:tc>
          <w:tcPr>
            <w:tcW w:type="dxa" w:w="216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&lt; 15 دقيقة لتعطل نظام حرج للأعمال (Business-critical system down)</w:t>
            </w:r>
          </w:p>
        </w:tc>
      </w:tr>
    </w:tbl>
    <w:p/>
    <w:p>
      <w:pPr>
        <w:keepNext/>
        <w:spacing w:before="360" w:after="120"/>
        <w:jc w:val="right"/>
        <w:bidi w:val="1"/>
        <w:pBdr>
          <w:bottom w:val="single" w:sz="12" w:space="4" w:color="1F4E79"/>
        </w:pBdr>
      </w:pPr>
      <w:r>
        <w:rPr>
          <w:rFonts w:ascii="Calibri" w:hAnsi="Calibri"/>
          <w:b/>
          <w:color w:val="1F4E79"/>
          <w:sz w:val="32"/>
          <w:rtl w:val="1"/>
        </w:rPr>
        <w:t>8. جدول الكلمات الدلالية والحلول السريعة في الامتحان</w:t>
      </w:r>
    </w:p>
    <w:p>
      <w:pPr>
        <w:spacing w:before="0" w:after="120" w:line="276" w:lineRule="auto"/>
        <w:jc w:val="right"/>
        <w:bidi w:val="1"/>
      </w:pPr>
      <w:r>
        <w:rPr>
          <w:rFonts w:ascii="Calibri" w:hAnsi="Calibri"/>
          <w:b w:val="0"/>
          <w:color w:val="333333"/>
          <w:sz w:val="22"/>
          <w:rtl w:val="1"/>
        </w:rPr>
        <w:t>هذا الجدول يربط العبارة الإنجليزية الشائعة في السؤال بالحل أو الخدمة الصحيحة مباشرة:</w:t>
      </w:r>
    </w:p>
    <w:tbl>
      <w:tblPr>
        <w:tblW w:type="auto" w:w="0"/>
        <w:jc w:val="center"/>
        <w:tblLayout w:type="fixed"/>
        <w:tblLook w:firstColumn="1" w:firstRow="1" w:lastColumn="0" w:lastRow="0" w:noHBand="0" w:noVBand="1" w:val="04A0"/>
        <w:bidiVisual w:val="1"/>
      </w:tblPr>
      <w:tblGrid>
        <w:gridCol w:w="3120"/>
        <w:gridCol w:w="3120"/>
        <w:gridCol w:w="3120"/>
      </w:tblGrid>
      <w:tr>
        <w:tc>
          <w:tcPr>
            <w:tcW w:type="dxa" w:w="3600"/>
            <w:shd w:fill="1F4E79"/>
            <w:tcMar>
              <w:top w:w="120" w:type="dxa"/>
              <w:bottom w:w="120" w:type="dxa"/>
              <w:left w:w="150" w:type="dxa"/>
              <w:right w:w="150" w:type="dxa"/>
            </w:tcMar>
            <w:tcBorders>
              <w:top w:val="single" w:sz="8" w:space="0" w:color="1F4E79"/>
              <w:left w:val="single" w:sz="4" w:space="0" w:color="D3D3D3"/>
              <w:bottom w:val="single" w:sz="12" w:space="0" w:color="1F4E79"/>
              <w:right w:val="single" w:sz="4" w:space="0" w:color="D3D3D3"/>
            </w:tcBorders>
          </w:tcPr>
          <w:p>
            <w:pPr>
              <w:spacing w:before="80" w:after="80" w:line="276" w:lineRule="auto"/>
              <w:jc w:val="right"/>
              <w:bidi w:val="1"/>
            </w:pPr>
            <w:r>
              <w:rPr>
                <w:rFonts w:ascii="Calibri" w:hAnsi="Calibri"/>
                <w:b/>
                <w:color w:val="FFFFFF"/>
                <w:sz w:val="22"/>
                <w:rtl w:val="1"/>
              </w:rPr>
              <w:t>الكلمة الدلالية في السؤال (Keyword)</w:t>
            </w:r>
          </w:p>
        </w:tc>
        <w:tc>
          <w:tcPr>
            <w:tcW w:type="dxa" w:w="2880"/>
            <w:shd w:fill="1F4E79"/>
            <w:tcMar>
              <w:top w:w="120" w:type="dxa"/>
              <w:bottom w:w="120" w:type="dxa"/>
              <w:left w:w="150" w:type="dxa"/>
              <w:right w:w="150" w:type="dxa"/>
            </w:tcMar>
            <w:tcBorders>
              <w:top w:val="single" w:sz="8" w:space="0" w:color="1F4E79"/>
              <w:left w:val="single" w:sz="4" w:space="0" w:color="D3D3D3"/>
              <w:bottom w:val="single" w:sz="12" w:space="0" w:color="1F4E79"/>
              <w:right w:val="single" w:sz="4" w:space="0" w:color="D3D3D3"/>
            </w:tcBorders>
          </w:tcPr>
          <w:p>
            <w:pPr>
              <w:spacing w:before="80" w:after="80" w:line="276" w:lineRule="auto"/>
              <w:jc w:val="right"/>
              <w:bidi w:val="1"/>
            </w:pPr>
            <w:r>
              <w:rPr>
                <w:rFonts w:ascii="Calibri" w:hAnsi="Calibri"/>
                <w:b/>
                <w:color w:val="FFFFFF"/>
                <w:sz w:val="22"/>
                <w:rtl w:val="1"/>
              </w:rPr>
              <w:t>الإجابة الصحيحة (AWS Service)</w:t>
            </w:r>
          </w:p>
        </w:tc>
        <w:tc>
          <w:tcPr>
            <w:tcW w:type="dxa" w:w="2880"/>
            <w:shd w:fill="1F4E79"/>
            <w:tcMar>
              <w:top w:w="120" w:type="dxa"/>
              <w:bottom w:w="120" w:type="dxa"/>
              <w:left w:w="150" w:type="dxa"/>
              <w:right w:w="150" w:type="dxa"/>
            </w:tcMar>
            <w:tcBorders>
              <w:top w:val="single" w:sz="8" w:space="0" w:color="1F4E79"/>
              <w:left w:val="single" w:sz="4" w:space="0" w:color="D3D3D3"/>
              <w:bottom w:val="single" w:sz="12" w:space="0" w:color="1F4E79"/>
              <w:right w:val="single" w:sz="4" w:space="0" w:color="D3D3D3"/>
            </w:tcBorders>
          </w:tcPr>
          <w:p>
            <w:pPr>
              <w:spacing w:before="80" w:after="80" w:line="276" w:lineRule="auto"/>
              <w:jc w:val="right"/>
              <w:bidi w:val="1"/>
            </w:pPr>
            <w:r>
              <w:rPr>
                <w:rFonts w:ascii="Calibri" w:hAnsi="Calibri"/>
                <w:b/>
                <w:color w:val="FFFFFF"/>
                <w:sz w:val="22"/>
                <w:rtl w:val="1"/>
              </w:rPr>
              <w:t>التفسير السريع بالعربية</w:t>
            </w:r>
          </w:p>
        </w:tc>
      </w:tr>
      <w:tr>
        <w:tc>
          <w:tcPr>
            <w:tcW w:type="dxa" w:w="360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Unstructured data / static website hosting</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Amazon S3</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تخزين الملفات والصور أو استضافة موقع ويب استاتيكي ثابت.</w:t>
            </w:r>
          </w:p>
        </w:tc>
      </w:tr>
      <w:tr>
        <w:tc>
          <w:tcPr>
            <w:tcW w:type="dxa" w:w="360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Relational database / SQL / OLTP</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Amazon RDS</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قاعدة بيانان علائقية تدعم لغة الاستعلامات الهيكلية SQL.</w:t>
            </w:r>
          </w:p>
        </w:tc>
      </w:tr>
      <w:tr>
        <w:tc>
          <w:tcPr>
            <w:tcW w:type="dxa" w:w="360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NoSQL database / Key-Value / single-digit millisecond</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Amazon DynamoDB</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قاعدة بيانات غير علائقية سريعة جداً وتتوسع تلقائياً.</w:t>
            </w:r>
          </w:p>
        </w:tc>
      </w:tr>
      <w:tr>
        <w:tc>
          <w:tcPr>
            <w:tcW w:type="dxa" w:w="360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Decouple applications / Message queue</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Amazon SQS</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فك الارتباط بين أجزاء التطبيق عبر طابور الرسائل.</w:t>
            </w:r>
          </w:p>
        </w:tc>
      </w:tr>
      <w:tr>
        <w:tc>
          <w:tcPr>
            <w:tcW w:type="dxa" w:w="360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Pub/Sub messaging / push notifications</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Amazon SNS</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إرسال إشعارات جماعية للهواتف أو رسائل بريدية وتنبيهات.</w:t>
            </w:r>
          </w:p>
        </w:tc>
      </w:tr>
      <w:tr>
        <w:tc>
          <w:tcPr>
            <w:tcW w:type="dxa" w:w="360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Audit API activity / Who did what / Compliance logs</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AWS CloudTrail</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تسجيل حركات الحساب لمعرفة المسؤول عن التغييرات.</w:t>
            </w:r>
          </w:p>
        </w:tc>
      </w:tr>
      <w:tr>
        <w:tc>
          <w:tcPr>
            <w:tcW w:type="dxa" w:w="360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Performance metrics / Log storage / CPU alarms</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Amazon CloudWatch</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مراقبة مستويات أداء السيرفرات والتنبيه عند تجاوزها.</w:t>
            </w:r>
          </w:p>
        </w:tc>
      </w:tr>
      <w:tr>
        <w:tc>
          <w:tcPr>
            <w:tcW w:type="dxa" w:w="360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Infrastructure as Code / JSON or YAML Templates</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AWS CloudFormation</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بناء موارد الشبكة والحواسب بكتابة كود نصي.</w:t>
            </w:r>
          </w:p>
        </w:tc>
      </w:tr>
      <w:tr>
        <w:tc>
          <w:tcPr>
            <w:tcW w:type="dxa" w:w="360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DDoS Protection</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AWS Shield</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الحماية من هجمات حجب الخدمة الموزعة.</w:t>
            </w:r>
          </w:p>
        </w:tc>
      </w:tr>
      <w:tr>
        <w:tc>
          <w:tcPr>
            <w:tcW w:type="dxa" w:w="360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SQL Injection / Cross-Site Scripting (XSS) / Layer 7</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AWS WAF</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جدار حماية للويب لفلترة الطلبات وحماية برمجيات الموقع.</w:t>
            </w:r>
          </w:p>
        </w:tc>
      </w:tr>
      <w:tr>
        <w:tc>
          <w:tcPr>
            <w:tcW w:type="dxa" w:w="360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Scan EC2 instances for software vulnerabilities</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Amazon Inspector</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فحص الثغرات داخل نظام تشغيل الـ EC2 وحواسب الحاويات.</w:t>
            </w:r>
          </w:p>
        </w:tc>
      </w:tr>
      <w:tr>
        <w:tc>
          <w:tcPr>
            <w:tcW w:type="dxa" w:w="360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Intelligent threat detection / Malicious activities</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Amazon GuardDuty</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اكتشاف الاختراقات والحركات المريبة باستخدام الذكاء الاصطناعي.</w:t>
            </w:r>
          </w:p>
        </w:tc>
      </w:tr>
      <w:tr>
        <w:tc>
          <w:tcPr>
            <w:tcW w:type="dxa" w:w="360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Compliance documents / ISO / SOC reports download</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AWS Artifact</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تحميل شهادات الامتثال والأمان القانونية الخاصة بـ AWS.</w:t>
            </w:r>
          </w:p>
        </w:tc>
      </w:tr>
      <w:tr>
        <w:tc>
          <w:tcPr>
            <w:tcW w:type="dxa" w:w="360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Best practice checks / Cost, Security, Fault Tolerance</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AWS Trusted Advisor</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تقديم توصيات جاهزة ومستمرة لتحسين الحساب السحابي.</w:t>
            </w:r>
          </w:p>
        </w:tc>
      </w:tr>
      <w:tr>
        <w:tc>
          <w:tcPr>
            <w:tcW w:type="dxa" w:w="360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Centralized billing / Policy control (SCPs) / consolidated</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AWS Organizations</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إدارة وتجميع الحسابات المتعددة في شركة واحدة مركزياً.</w:t>
            </w:r>
          </w:p>
        </w:tc>
      </w:tr>
      <w:tr>
        <w:tc>
          <w:tcPr>
            <w:tcW w:type="dxa" w:w="360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Query S3 data directly using standard SQL</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Amazon Athena</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الاستعلام وتحليل الملفات الموجودة بداخل S3 مباشرة بـ SQL.</w:t>
            </w:r>
          </w:p>
        </w:tc>
      </w:tr>
      <w:tr>
        <w:tc>
          <w:tcPr>
            <w:tcW w:type="dxa" w:w="360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Predict / Forecast budget overruns in advance</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AWS Budgets</w:t>
            </w:r>
          </w:p>
        </w:tc>
        <w:tc>
          <w:tcPr>
            <w:tcW w:type="dxa" w:w="2880"/>
            <w:tcMar>
              <w:top w:w="100" w:type="dxa"/>
              <w:bottom w:w="100" w:type="dxa"/>
              <w:left w:w="150" w:type="dxa"/>
              <w:right w:w="150" w:type="dxa"/>
            </w:tcMar>
            <w:tcBorders>
              <w:top w:val="single" w:sz="4" w:space="0" w:color="E0E0E0"/>
              <w:left w:val="single" w:sz="4" w:space="0" w:color="E0E0E0"/>
              <w:bottom w:val="single" w:sz="4" w:space="0" w:color="E0E0E0"/>
              <w:right w:val="single" w:sz="4" w:space="0" w:color="E0E0E0"/>
            </w:tcBorders>
          </w:tcPr>
          <w:p>
            <w:pPr>
              <w:spacing w:before="80" w:after="80" w:line="276" w:lineRule="auto"/>
              <w:jc w:val="right"/>
              <w:bidi w:val="1"/>
            </w:pPr>
            <w:r>
              <w:rPr>
                <w:rFonts w:ascii="Calibri" w:hAnsi="Calibri"/>
                <w:b w:val="0"/>
                <w:color w:val="333333"/>
                <w:sz w:val="19"/>
                <w:rtl w:val="1"/>
              </w:rPr>
              <w:t>التنبيه والتنبؤ قبل تخطي ميزانية الحساب المحددة.</w:t>
            </w:r>
          </w:p>
        </w:tc>
      </w:tr>
    </w:tbl>
    <w:sectPr w:rsidR="00FC693F" w:rsidRPr="0006063C" w:rsidSect="00034616">
      <w:pgSz w:w="12240" w:h="15840"/>
      <w:pgMar w:top="1440" w:right="1440" w:bottom="1440" w:left="1440" w:header="720" w:footer="720" w:gutter="0"/>
      <w:cols w:space="720"/>
      <w:docGrid w:linePitch="360"/>
      <w:bidi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