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07751"/>
          <w:spacing w:val="20"/>
          <w:sz w:val="22"/>
          <w:szCs w:val="22"/>
        </w:rPr>
        <w:t xml:space="preserve">SECURINETS FST · SUMMER CAMP</w:t>
      </w:r>
    </w:p>
    <w:p>
      <w:pPr>
        <w:spacing w:after="200" w:before="400"/>
        <w:jc w:val="center"/>
      </w:pPr>
      <w:r>
        <w:rPr>
          <w:color w:val="5A5A5A"/>
          <w:sz w:val="26"/>
          <w:szCs w:val="26"/>
        </w:rPr>
        <w:t xml:space="preserve">Rapport Technique</w:t>
      </w:r>
    </w:p>
    <w:p>
      <w:pPr>
        <w:spacing w:after="100" w:before="100"/>
        <w:jc w:val="center"/>
      </w:pPr>
      <w:r>
        <w:rPr>
          <w:b/>
          <w:bCs/>
          <w:color w:val="09254C"/>
          <w:sz w:val="48"/>
          <w:szCs w:val="48"/>
        </w:rPr>
        <w:t xml:space="preserve">Déploiement MISP &amp; Cortex</w:t>
      </w:r>
    </w:p>
    <w:p>
      <w:pPr>
        <w:spacing w:after="600"/>
        <w:jc w:val="center"/>
      </w:pPr>
      <w:r>
        <w:rPr>
          <w:color w:val="007751"/>
          <w:sz w:val="26"/>
          <w:szCs w:val="26"/>
        </w:rPr>
        <w:t xml:space="preserve">Plateforme de Threat Intelligence et d'Analyse Automatisée</w:t>
      </w:r>
    </w:p>
    <w:p>
      <w:pPr>
        <w:pBdr>
          <w:top w:val="single" w:color="007751" w:sz="6" w:space="8"/>
        </w:pBdr>
        <w:spacing w:after="500" w:before="500"/>
        <w:jc w:val="cente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09254C" w:val="clear"/>
            <w:tcMar>
              <w:top w:type="dxa" w:w="100"/>
              <w:left w:type="dxa" w:w="150"/>
              <w:bottom w:type="dxa" w:w="100"/>
              <w:right w:type="dxa" w:w="150"/>
            </w:tcMar>
          </w:tcPr>
          <w:p>
            <w:r>
              <w:rPr>
                <w:b/>
                <w:bCs/>
                <w:color w:val="FFFFFF"/>
                <w:sz w:val="20"/>
                <w:szCs w:val="20"/>
              </w:rPr>
              <w:t xml:space="preserve">Auteur</w:t>
            </w:r>
          </w:p>
        </w:tc>
        <w:tc>
          <w:tcPr>
            <w:tcW w:type="dxa" w:w="6750"/>
            <w:shd w:fill="09254C" w:val="clear"/>
            <w:tcMar>
              <w:top w:type="dxa" w:w="100"/>
              <w:left w:type="dxa" w:w="150"/>
              <w:bottom w:type="dxa" w:w="100"/>
              <w:right w:type="dxa" w:w="150"/>
            </w:tcMar>
          </w:tcPr>
          <w:p>
            <w:r>
              <w:rPr>
                <w:b/>
                <w:bCs/>
                <w:color w:val="FFFFFF"/>
                <w:sz w:val="20"/>
                <w:szCs w:val="20"/>
              </w:rPr>
              <w:t xml:space="preserve">Mohamed Nafti (Nafti Mohamed)</w:t>
            </w:r>
          </w:p>
        </w:tc>
      </w:tr>
      <w:tr>
        <w:tc>
          <w:tcPr>
            <w:tcW w:type="dxa" w:w="2600"/>
            <w:shd w:fill="F2F2F2" w:val="clear"/>
            <w:tcMar>
              <w:top w:type="dxa" w:w="100"/>
              <w:left w:type="dxa" w:w="150"/>
              <w:bottom w:type="dxa" w:w="100"/>
              <w:right w:type="dxa" w:w="150"/>
            </w:tcMar>
          </w:tcPr>
          <w:p>
            <w:r>
              <w:rPr>
                <w:b/>
                <w:bCs/>
                <w:color w:val="09254C"/>
                <w:sz w:val="20"/>
                <w:szCs w:val="20"/>
              </w:rPr>
              <w:t xml:space="preserve">Rôle</w:t>
            </w:r>
          </w:p>
        </w:tc>
        <w:tc>
          <w:tcPr>
            <w:tcW w:type="dxa" w:w="6750"/>
            <w:shd w:fill="FFFFFF" w:val="clear"/>
            <w:tcMar>
              <w:top w:type="dxa" w:w="100"/>
              <w:left w:type="dxa" w:w="150"/>
              <w:bottom w:type="dxa" w:w="100"/>
              <w:right w:type="dxa" w:w="150"/>
            </w:tcMar>
          </w:tcPr>
          <w:p>
            <w:r>
              <w:rPr>
                <w:b w:val="false"/>
                <w:bCs w:val="false"/>
                <w:color w:val="1A1A1A"/>
                <w:sz w:val="20"/>
                <w:szCs w:val="20"/>
              </w:rPr>
              <w:t xml:space="preserve">Personne 2 (MISP + Cortex)</w:t>
            </w:r>
          </w:p>
        </w:tc>
      </w:tr>
      <w:tr>
        <w:tc>
          <w:tcPr>
            <w:tcW w:type="dxa" w:w="2600"/>
            <w:shd w:fill="F2F2F2" w:val="clear"/>
            <w:tcMar>
              <w:top w:type="dxa" w:w="100"/>
              <w:left w:type="dxa" w:w="150"/>
              <w:bottom w:type="dxa" w:w="100"/>
              <w:right w:type="dxa" w:w="150"/>
            </w:tcMar>
          </w:tcPr>
          <w:p>
            <w:r>
              <w:rPr>
                <w:b/>
                <w:bCs/>
                <w:color w:val="09254C"/>
                <w:sz w:val="20"/>
                <w:szCs w:val="20"/>
              </w:rPr>
              <w:t xml:space="preserve">Projet</w:t>
            </w:r>
          </w:p>
        </w:tc>
        <w:tc>
          <w:tcPr>
            <w:tcW w:type="dxa" w:w="6750"/>
            <w:shd w:fill="FFFFFF" w:val="clear"/>
            <w:tcMar>
              <w:top w:type="dxa" w:w="100"/>
              <w:left w:type="dxa" w:w="150"/>
              <w:bottom w:type="dxa" w:w="100"/>
              <w:right w:type="dxa" w:w="150"/>
            </w:tcMar>
          </w:tcPr>
          <w:p>
            <w:r>
              <w:rPr>
                <w:b w:val="false"/>
                <w:bCs w:val="false"/>
                <w:color w:val="1A1A1A"/>
                <w:sz w:val="20"/>
                <w:szCs w:val="20"/>
              </w:rPr>
              <w:t xml:space="preserve">SOC Lab, Summer Camp Securinets FST</w:t>
            </w:r>
          </w:p>
        </w:tc>
      </w:tr>
      <w:tr>
        <w:tc>
          <w:tcPr>
            <w:tcW w:type="dxa" w:w="2600"/>
            <w:shd w:fill="F2F2F2" w:val="clear"/>
            <w:tcMar>
              <w:top w:type="dxa" w:w="100"/>
              <w:left w:type="dxa" w:w="150"/>
              <w:bottom w:type="dxa" w:w="100"/>
              <w:right w:type="dxa" w:w="150"/>
            </w:tcMar>
          </w:tcPr>
          <w:p>
            <w:r>
              <w:rPr>
                <w:b/>
                <w:bCs/>
                <w:color w:val="09254C"/>
                <w:sz w:val="20"/>
                <w:szCs w:val="20"/>
              </w:rPr>
              <w:t xml:space="preserve">Organisation</w:t>
            </w:r>
          </w:p>
        </w:tc>
        <w:tc>
          <w:tcPr>
            <w:tcW w:type="dxa" w:w="6750"/>
            <w:shd w:fill="FFFFFF" w:val="clear"/>
            <w:tcMar>
              <w:top w:type="dxa" w:w="100"/>
              <w:left w:type="dxa" w:w="150"/>
              <w:bottom w:type="dxa" w:w="100"/>
              <w:right w:type="dxa" w:w="150"/>
            </w:tcMar>
          </w:tcPr>
          <w:p>
            <w:r>
              <w:rPr>
                <w:b w:val="false"/>
                <w:bCs w:val="false"/>
                <w:color w:val="1A1A1A"/>
                <w:sz w:val="20"/>
                <w:szCs w:val="20"/>
              </w:rPr>
              <w:t xml:space="preserve">Securinets FST (Faculté des Sciences de Tunis)</w:t>
            </w:r>
          </w:p>
        </w:tc>
      </w:tr>
      <w:tr>
        <w:tc>
          <w:tcPr>
            <w:tcW w:type="dxa" w:w="2600"/>
            <w:shd w:fill="F2F2F2" w:val="clear"/>
            <w:tcMar>
              <w:top w:type="dxa" w:w="100"/>
              <w:left w:type="dxa" w:w="150"/>
              <w:bottom w:type="dxa" w:w="100"/>
              <w:right w:type="dxa" w:w="150"/>
            </w:tcMar>
          </w:tcPr>
          <w:p>
            <w:r>
              <w:rPr>
                <w:b/>
                <w:bCs/>
                <w:color w:val="09254C"/>
                <w:sz w:val="20"/>
                <w:szCs w:val="20"/>
              </w:rPr>
              <w:t xml:space="preserve">Date</w:t>
            </w:r>
          </w:p>
        </w:tc>
        <w:tc>
          <w:tcPr>
            <w:tcW w:type="dxa" w:w="6750"/>
            <w:shd w:fill="FFFFFF" w:val="clear"/>
            <w:tcMar>
              <w:top w:type="dxa" w:w="100"/>
              <w:left w:type="dxa" w:w="150"/>
              <w:bottom w:type="dxa" w:w="100"/>
              <w:right w:type="dxa" w:w="150"/>
            </w:tcMar>
          </w:tcPr>
          <w:p>
            <w:r>
              <w:rPr>
                <w:b w:val="false"/>
                <w:bCs w:val="false"/>
                <w:color w:val="1A1A1A"/>
                <w:sz w:val="20"/>
                <w:szCs w:val="20"/>
              </w:rPr>
              <w:t xml:space="preserve">25 Juillet 2026</w:t>
            </w:r>
          </w:p>
        </w:tc>
      </w:tr>
    </w:tbl>
    <w:p>
      <w:r>
        <w:br w:type="page"/>
      </w:r>
    </w:p>
    <w:p>
      <w:pPr>
        <w:pStyle w:val="Heading1"/>
        <w:pBdr>
          <w:bottom w:val="single" w:color="007751" w:sz="8" w:space="4"/>
        </w:pBdr>
        <w:spacing w:after="200" w:before="360"/>
      </w:pPr>
      <w:r>
        <w:rPr>
          <w:b/>
          <w:bCs/>
          <w:color w:val="09254C"/>
          <w:sz w:val="30"/>
          <w:szCs w:val="30"/>
        </w:rPr>
        <w:t xml:space="preserve">1. Contexte et objectifs</w:t>
      </w:r>
    </w:p>
    <w:p>
      <w:pPr>
        <w:spacing w:after="160" w:line="300"/>
      </w:pPr>
      <w:r>
        <w:rPr>
          <w:color w:val="1A1A1A"/>
          <w:sz w:val="22"/>
          <w:szCs w:val="22"/>
        </w:rPr>
        <w:t xml:space="preserve">Dans le cadre du SOC Lab organisé pour le summer camp de Securinets FST, ma partie du projet (Personne 2) consiste à déployer, configurer et intégrer deux outils centraux de la chaîne de threat intelligence :</w:t>
      </w:r>
    </w:p>
    <w:p>
      <w:pPr>
        <w:pStyle w:val="ListParagraph"/>
        <w:numPr>
          <w:ilvl w:val="0"/>
          <w:numId w:val="2"/>
        </w:numPr>
        <w:spacing w:after="80"/>
      </w:pPr>
      <w:r>
        <w:rPr>
          <w:sz w:val="22"/>
          <w:szCs w:val="22"/>
        </w:rPr>
        <w:t xml:space="preserve">MISP (Malware Information Sharing Platform), utilisé pour centraliser et partager des indicateurs de compromission (IOCs).</w:t>
      </w:r>
    </w:p>
    <w:p>
      <w:pPr>
        <w:pStyle w:val="ListParagraph"/>
        <w:numPr>
          <w:ilvl w:val="0"/>
          <w:numId w:val="2"/>
        </w:numPr>
        <w:spacing w:after="80"/>
      </w:pPr>
      <w:r>
        <w:rPr>
          <w:sz w:val="22"/>
          <w:szCs w:val="22"/>
        </w:rPr>
        <w:t xml:space="preserve">Cortex, qui sert à analyser et enrichir automatiquement ces indicateurs grâce à des connecteurs externes comme VirusTotal, AbuseIPDB ou Shodan.</w:t>
      </w:r>
    </w:p>
    <w:p>
      <w:pPr>
        <w:spacing w:after="160" w:line="300"/>
      </w:pPr>
      <w:r>
        <w:rPr>
          <w:color w:val="1A1A1A"/>
          <w:sz w:val="22"/>
          <w:szCs w:val="22"/>
        </w:rPr>
        <w:t xml:space="preserve">Le but est d'avoir une chaîne qui fonctionne de bout en bout : un indicateur est ajouté dans MISP, il peut ensuite être enrichi via Cortex, et à terme les alertes de Wazuh (le SIEM du projet) doivent pouvoir être corrélées avec ces indicateurs.</w:t>
      </w:r>
    </w:p>
    <w:p>
      <w:pPr>
        <w:pStyle w:val="Heading2"/>
        <w:spacing w:after="140" w:before="280"/>
      </w:pPr>
      <w:r>
        <w:rPr>
          <w:b/>
          <w:bCs/>
          <w:color w:val="09254C"/>
          <w:sz w:val="24"/>
          <w:szCs w:val="24"/>
        </w:rPr>
        <w:t xml:space="preserve">1.1 Environnement technique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09254C" w:val="clear"/>
            <w:tcMar>
              <w:top w:type="dxa" w:w="100"/>
              <w:left w:type="dxa" w:w="150"/>
              <w:bottom w:type="dxa" w:w="100"/>
              <w:right w:type="dxa" w:w="150"/>
            </w:tcMar>
          </w:tcPr>
          <w:p>
            <w:r>
              <w:rPr>
                <w:b/>
                <w:bCs/>
                <w:color w:val="FFFFFF"/>
                <w:sz w:val="20"/>
                <w:szCs w:val="20"/>
              </w:rPr>
              <w:t xml:space="preserve">Hyperviseur</w:t>
            </w:r>
          </w:p>
        </w:tc>
        <w:tc>
          <w:tcPr>
            <w:tcW w:type="dxa" w:w="6750"/>
            <w:shd w:fill="09254C" w:val="clear"/>
            <w:tcMar>
              <w:top w:type="dxa" w:w="100"/>
              <w:left w:type="dxa" w:w="150"/>
              <w:bottom w:type="dxa" w:w="100"/>
              <w:right w:type="dxa" w:w="150"/>
            </w:tcMar>
          </w:tcPr>
          <w:p>
            <w:r>
              <w:rPr>
                <w:b/>
                <w:bCs/>
                <w:color w:val="FFFFFF"/>
                <w:sz w:val="20"/>
                <w:szCs w:val="20"/>
              </w:rPr>
              <w:t xml:space="preserve">VMware Workstation</w:t>
            </w:r>
          </w:p>
        </w:tc>
      </w:tr>
      <w:tr>
        <w:tc>
          <w:tcPr>
            <w:tcW w:type="dxa" w:w="2600"/>
            <w:shd w:fill="F2F2F2" w:val="clear"/>
            <w:tcMar>
              <w:top w:type="dxa" w:w="100"/>
              <w:left w:type="dxa" w:w="150"/>
              <w:bottom w:type="dxa" w:w="100"/>
              <w:right w:type="dxa" w:w="150"/>
            </w:tcMar>
          </w:tcPr>
          <w:p>
            <w:r>
              <w:rPr>
                <w:b/>
                <w:bCs/>
                <w:color w:val="09254C"/>
                <w:sz w:val="20"/>
                <w:szCs w:val="20"/>
              </w:rPr>
              <w:t xml:space="preserve">Système d'exploitation</w:t>
            </w:r>
          </w:p>
        </w:tc>
        <w:tc>
          <w:tcPr>
            <w:tcW w:type="dxa" w:w="6750"/>
            <w:shd w:fill="FFFFFF" w:val="clear"/>
            <w:tcMar>
              <w:top w:type="dxa" w:w="100"/>
              <w:left w:type="dxa" w:w="150"/>
              <w:bottom w:type="dxa" w:w="100"/>
              <w:right w:type="dxa" w:w="150"/>
            </w:tcMar>
          </w:tcPr>
          <w:p>
            <w:r>
              <w:rPr>
                <w:b w:val="false"/>
                <w:bCs w:val="false"/>
                <w:color w:val="1A1A1A"/>
                <w:sz w:val="20"/>
                <w:szCs w:val="20"/>
              </w:rPr>
              <w:t xml:space="preserve">Ubuntu (VM "soclab")</w:t>
            </w:r>
          </w:p>
        </w:tc>
      </w:tr>
      <w:tr>
        <w:tc>
          <w:tcPr>
            <w:tcW w:type="dxa" w:w="2600"/>
            <w:shd w:fill="F2F2F2" w:val="clear"/>
            <w:tcMar>
              <w:top w:type="dxa" w:w="100"/>
              <w:left w:type="dxa" w:w="150"/>
              <w:bottom w:type="dxa" w:w="100"/>
              <w:right w:type="dxa" w:w="150"/>
            </w:tcMar>
          </w:tcPr>
          <w:p>
            <w:r>
              <w:rPr>
                <w:b/>
                <w:bCs/>
                <w:color w:val="09254C"/>
                <w:sz w:val="20"/>
                <w:szCs w:val="20"/>
              </w:rPr>
              <w:t xml:space="preserve">Conteneurisation</w:t>
            </w:r>
          </w:p>
        </w:tc>
        <w:tc>
          <w:tcPr>
            <w:tcW w:type="dxa" w:w="6750"/>
            <w:shd w:fill="FFFFFF" w:val="clear"/>
            <w:tcMar>
              <w:top w:type="dxa" w:w="100"/>
              <w:left w:type="dxa" w:w="150"/>
              <w:bottom w:type="dxa" w:w="100"/>
              <w:right w:type="dxa" w:w="150"/>
            </w:tcMar>
          </w:tcPr>
          <w:p>
            <w:r>
              <w:rPr>
                <w:b w:val="false"/>
                <w:bCs w:val="false"/>
                <w:color w:val="1A1A1A"/>
                <w:sz w:val="20"/>
                <w:szCs w:val="20"/>
              </w:rPr>
              <w:t xml:space="preserve">Docker CE 29.6.2 / Docker Compose v5.3.1</w:t>
            </w:r>
          </w:p>
        </w:tc>
      </w:tr>
      <w:tr>
        <w:tc>
          <w:tcPr>
            <w:tcW w:type="dxa" w:w="2600"/>
            <w:shd w:fill="F2F2F2" w:val="clear"/>
            <w:tcMar>
              <w:top w:type="dxa" w:w="100"/>
              <w:left w:type="dxa" w:w="150"/>
              <w:bottom w:type="dxa" w:w="100"/>
              <w:right w:type="dxa" w:w="150"/>
            </w:tcMar>
          </w:tcPr>
          <w:p>
            <w:r>
              <w:rPr>
                <w:b/>
                <w:bCs/>
                <w:color w:val="09254C"/>
                <w:sz w:val="20"/>
                <w:szCs w:val="20"/>
              </w:rPr>
              <w:t xml:space="preserve">Réseau VM</w:t>
            </w:r>
          </w:p>
        </w:tc>
        <w:tc>
          <w:tcPr>
            <w:tcW w:type="dxa" w:w="6750"/>
            <w:shd w:fill="FFFFFF" w:val="clear"/>
            <w:tcMar>
              <w:top w:type="dxa" w:w="100"/>
              <w:left w:type="dxa" w:w="150"/>
              <w:bottom w:type="dxa" w:w="100"/>
              <w:right w:type="dxa" w:w="150"/>
            </w:tcMar>
          </w:tcPr>
          <w:p>
            <w:r>
              <w:rPr>
                <w:b w:val="false"/>
                <w:bCs w:val="false"/>
                <w:color w:val="1A1A1A"/>
                <w:sz w:val="20"/>
                <w:szCs w:val="20"/>
              </w:rPr>
              <w:t xml:space="preserve">Mode Bridged, IP locale 192.168.1.207</w:t>
            </w:r>
          </w:p>
        </w:tc>
      </w:tr>
      <w:tr>
        <w:tc>
          <w:tcPr>
            <w:tcW w:type="dxa" w:w="2600"/>
            <w:shd w:fill="F2F2F2" w:val="clear"/>
            <w:tcMar>
              <w:top w:type="dxa" w:w="100"/>
              <w:left w:type="dxa" w:w="150"/>
              <w:bottom w:type="dxa" w:w="100"/>
              <w:right w:type="dxa" w:w="150"/>
            </w:tcMar>
          </w:tcPr>
          <w:p>
            <w:r>
              <w:rPr>
                <w:b/>
                <w:bCs/>
                <w:color w:val="09254C"/>
                <w:sz w:val="20"/>
                <w:szCs w:val="20"/>
              </w:rPr>
              <w:t xml:space="preserve">Ressources VM</w:t>
            </w:r>
          </w:p>
        </w:tc>
        <w:tc>
          <w:tcPr>
            <w:tcW w:type="dxa" w:w="6750"/>
            <w:shd w:fill="FFFFFF" w:val="clear"/>
            <w:tcMar>
              <w:top w:type="dxa" w:w="100"/>
              <w:left w:type="dxa" w:w="150"/>
              <w:bottom w:type="dxa" w:w="100"/>
              <w:right w:type="dxa" w:w="150"/>
            </w:tcMar>
          </w:tcPr>
          <w:p>
            <w:r>
              <w:rPr>
                <w:b w:val="false"/>
                <w:bCs w:val="false"/>
                <w:color w:val="1A1A1A"/>
                <w:sz w:val="20"/>
                <w:szCs w:val="20"/>
              </w:rPr>
              <w:t xml:space="preserve">8 Go RAM / 48 Go disque</w:t>
            </w:r>
          </w:p>
        </w:tc>
      </w:tr>
    </w:tbl>
    <w:p>
      <w:pPr>
        <w:pStyle w:val="Heading1"/>
        <w:pBdr>
          <w:bottom w:val="single" w:color="007751" w:sz="8" w:space="4"/>
        </w:pBdr>
        <w:spacing w:after="200" w:before="360"/>
      </w:pPr>
      <w:r>
        <w:rPr>
          <w:b/>
          <w:bCs/>
          <w:color w:val="09254C"/>
          <w:sz w:val="30"/>
          <w:szCs w:val="30"/>
        </w:rPr>
        <w:t xml:space="preserve">2. Installation et configuration de Docker</w:t>
      </w:r>
    </w:p>
    <w:p>
      <w:pPr>
        <w:spacing w:after="160" w:line="300"/>
      </w:pPr>
      <w:r>
        <w:rPr>
          <w:color w:val="1A1A1A"/>
          <w:sz w:val="22"/>
          <w:szCs w:val="22"/>
        </w:rPr>
        <w:t xml:space="preserve">Docker a été installé en suivant la procédure officielle du dépôt APT Docker, avec Docker Compose Plugin, Buildx et containerd. L'utilisateur soc a été ajouté au groupe docker pour pouvoir lancer les commandes sans passer par sudo à chaque fois.</w:t>
      </w:r>
    </w:p>
    <w:p>
      <w:pPr>
        <w:pBdr>
          <w:top w:val="single" w:color="1E1E1E" w:sz="4" w:space="4"/>
          <w:bottom w:val="single" w:color="1E1E1E" w:sz="4" w:space="4"/>
          <w:left w:val="single" w:color="1E1E1E" w:sz="4" w:space="4"/>
          <w:right w:val="single" w:color="1E1E1E" w:sz="4" w:space="4"/>
        </w:pBdr>
        <w:shd w:fill="1E1E1E" w:val="clear"/>
        <w:spacing w:after="200" w:before="100"/>
      </w:pPr>
      <w:r>
        <w:rPr>
          <w:rFonts w:ascii="Consolas" w:cs="Consolas" w:eastAsia="Consolas" w:hAnsi="Consolas"/>
          <w:color w:val="D4D4D4"/>
          <w:sz w:val="18"/>
          <w:szCs w:val="18"/>
        </w:rPr>
        <w:t xml:space="preserve">sudo apt update &amp;&amp; sudo apt upgrade -y</w:t>
      </w:r>
      <w:r>
        <w:rPr>
          <w:rFonts w:ascii="Consolas" w:cs="Consolas" w:eastAsia="Consolas" w:hAnsi="Consolas"/>
          <w:color w:val="D4D4D4"/>
          <w:sz w:val="18"/>
          <w:szCs w:val="18"/>
        </w:rPr>
        <w:br/>
        <w:t xml:space="preserve">sudo apt install -y ca-certificates curl gnupg git</w:t>
      </w:r>
      <w:r>
        <w:rPr>
          <w:rFonts w:ascii="Consolas" w:cs="Consolas" w:eastAsia="Consolas" w:hAnsi="Consolas"/>
          <w:color w:val="D4D4D4"/>
          <w:sz w:val="18"/>
          <w:szCs w:val="18"/>
        </w:rPr>
        <w:br/>
        <w:t xml:space="preserve">sudo install -m 0755 -d /etc/apt/keyrings</w:t>
      </w:r>
      <w:r>
        <w:rPr>
          <w:rFonts w:ascii="Consolas" w:cs="Consolas" w:eastAsia="Consolas" w:hAnsi="Consolas"/>
          <w:color w:val="D4D4D4"/>
          <w:sz w:val="18"/>
          <w:szCs w:val="18"/>
        </w:rPr>
        <w:br/>
        <w:t xml:space="preserve">sudo curl -fsSL https://download.docker.com/linux/ubuntu/gpg -o /etc/apt/keyrings/docker.asc</w:t>
      </w:r>
      <w:r>
        <w:rPr>
          <w:rFonts w:ascii="Consolas" w:cs="Consolas" w:eastAsia="Consolas" w:hAnsi="Consolas"/>
          <w:color w:val="D4D4D4"/>
          <w:sz w:val="18"/>
          <w:szCs w:val="18"/>
        </w:rPr>
        <w:br/>
        <w:t xml:space="preserve">sudo apt install -y docker-ce docker-ce-cli containerd.io docker-buildx-plugin docker-compose-plugin</w:t>
      </w:r>
      <w:r>
        <w:rPr>
          <w:rFonts w:ascii="Consolas" w:cs="Consolas" w:eastAsia="Consolas" w:hAnsi="Consolas"/>
          <w:color w:val="D4D4D4"/>
          <w:sz w:val="18"/>
          <w:szCs w:val="18"/>
        </w:rPr>
        <w:br/>
        <w:t xml:space="preserve">sudo usermod -aG docker soc</w:t>
      </w:r>
    </w:p>
    <w:p>
      <w:pPr>
        <w:spacing w:after="160" w:line="300"/>
      </w:pPr>
      <w:r>
        <w:rPr>
          <w:color w:val="1A1A1A"/>
          <w:sz w:val="22"/>
          <w:szCs w:val="22"/>
        </w:rPr>
        <w:t xml:space="preserve">Test avec docker run hello-world : ça a fonctionné du premier coup. Version installée : Docker 29.6.2, Docker Compose v5.3.1.</w:t>
      </w:r>
    </w:p>
    <w:p>
      <w:pPr>
        <w:pStyle w:val="Heading1"/>
        <w:pBdr>
          <w:bottom w:val="single" w:color="007751" w:sz="8" w:space="4"/>
        </w:pBdr>
        <w:spacing w:after="200" w:before="360"/>
      </w:pPr>
      <w:r>
        <w:rPr>
          <w:b/>
          <w:bCs/>
          <w:color w:val="09254C"/>
          <w:sz w:val="30"/>
          <w:szCs w:val="30"/>
        </w:rPr>
        <w:t xml:space="preserve">3. Déploiement de MISP</w:t>
      </w:r>
    </w:p>
    <w:p>
      <w:pPr>
        <w:pStyle w:val="Heading2"/>
        <w:spacing w:after="140" w:before="280"/>
      </w:pPr>
      <w:r>
        <w:rPr>
          <w:b/>
          <w:bCs/>
          <w:color w:val="09254C"/>
          <w:sz w:val="24"/>
          <w:szCs w:val="24"/>
        </w:rPr>
        <w:t xml:space="preserve">3.1 Installation via Docker Compose officiel</w:t>
      </w:r>
    </w:p>
    <w:p>
      <w:pPr>
        <w:spacing w:after="160" w:line="300"/>
      </w:pPr>
      <w:r>
        <w:rPr>
          <w:color w:val="1A1A1A"/>
          <w:sz w:val="22"/>
          <w:szCs w:val="22"/>
        </w:rPr>
        <w:t xml:space="preserve">Plutôt que d'écrire un docker-compose.yml à la main, j'ai utilisé le dépôt officiel MISP/misp-docker, cloné dans ~/soc-lab/misp-docker. Le fichier .env a été généré à partir du template.env fourni dans le dépôt, avec ajustement de quelques variables importantes :</w:t>
      </w:r>
    </w:p>
    <w:p>
      <w:pPr>
        <w:pBdr>
          <w:top w:val="single" w:color="1E1E1E" w:sz="4" w:space="4"/>
          <w:bottom w:val="single" w:color="1E1E1E" w:sz="4" w:space="4"/>
          <w:left w:val="single" w:color="1E1E1E" w:sz="4" w:space="4"/>
          <w:right w:val="single" w:color="1E1E1E" w:sz="4" w:space="4"/>
        </w:pBdr>
        <w:shd w:fill="1E1E1E" w:val="clear"/>
        <w:spacing w:after="200" w:before="100"/>
      </w:pPr>
      <w:r>
        <w:rPr>
          <w:rFonts w:ascii="Consolas" w:cs="Consolas" w:eastAsia="Consolas" w:hAnsi="Consolas"/>
          <w:color w:val="D4D4D4"/>
          <w:sz w:val="18"/>
          <w:szCs w:val="18"/>
        </w:rPr>
        <w:t xml:space="preserve">BASE_URL=https://192.168.1.207</w:t>
      </w:r>
      <w:r>
        <w:rPr>
          <w:rFonts w:ascii="Consolas" w:cs="Consolas" w:eastAsia="Consolas" w:hAnsi="Consolas"/>
          <w:color w:val="D4D4D4"/>
          <w:sz w:val="18"/>
          <w:szCs w:val="18"/>
        </w:rPr>
        <w:br/>
        <w:t xml:space="preserve">ADMIN_EMAIL=admin@misp.local</w:t>
      </w:r>
      <w:r>
        <w:rPr>
          <w:rFonts w:ascii="Consolas" w:cs="Consolas" w:eastAsia="Consolas" w:hAnsi="Consolas"/>
          <w:color w:val="D4D4D4"/>
          <w:sz w:val="18"/>
          <w:szCs w:val="18"/>
        </w:rPr>
        <w:br/>
        <w:t xml:space="preserve">ADMIN_ORG=SOC-Lab</w:t>
      </w:r>
    </w:p>
    <w:p>
      <w:pPr>
        <w:spacing w:after="160" w:line="300"/>
      </w:pPr>
      <w:r>
        <w:rPr>
          <w:color w:val="1A1A1A"/>
          <w:sz w:val="22"/>
          <w:szCs w:val="22"/>
        </w:rPr>
        <w:t xml:space="preserve">Les conteneurs déployés :</w:t>
      </w:r>
    </w:p>
    <w:p>
      <w:pPr>
        <w:pStyle w:val="ListParagraph"/>
        <w:numPr>
          <w:ilvl w:val="0"/>
          <w:numId w:val="2"/>
        </w:numPr>
        <w:spacing w:after="80"/>
      </w:pPr>
      <w:r>
        <w:rPr>
          <w:sz w:val="22"/>
          <w:szCs w:val="22"/>
        </w:rPr>
        <w:t xml:space="preserve">misp-core, l'application MISP elle-même (Nginx + PHP-FPM), sur les ports 80 et 443</w:t>
      </w:r>
    </w:p>
    <w:p>
      <w:pPr>
        <w:pStyle w:val="ListParagraph"/>
        <w:numPr>
          <w:ilvl w:val="0"/>
          <w:numId w:val="2"/>
        </w:numPr>
        <w:spacing w:after="80"/>
      </w:pPr>
      <w:r>
        <w:rPr>
          <w:sz w:val="22"/>
          <w:szCs w:val="22"/>
        </w:rPr>
        <w:t xml:space="preserve">db, la base de données MariaDB 10.11</w:t>
      </w:r>
    </w:p>
    <w:p>
      <w:pPr>
        <w:pStyle w:val="ListParagraph"/>
        <w:numPr>
          <w:ilvl w:val="0"/>
          <w:numId w:val="2"/>
        </w:numPr>
        <w:spacing w:after="80"/>
      </w:pPr>
      <w:r>
        <w:rPr>
          <w:sz w:val="22"/>
          <w:szCs w:val="22"/>
        </w:rPr>
        <w:t xml:space="preserve">redis (image valkey 7.2), pour le cache et les files de jobs</w:t>
      </w:r>
    </w:p>
    <w:p>
      <w:pPr>
        <w:pStyle w:val="ListParagraph"/>
        <w:numPr>
          <w:ilvl w:val="0"/>
          <w:numId w:val="2"/>
        </w:numPr>
        <w:spacing w:after="80"/>
      </w:pPr>
      <w:r>
        <w:rPr>
          <w:sz w:val="22"/>
          <w:szCs w:val="22"/>
        </w:rPr>
        <w:t xml:space="preserve">misp-modules, les modules d'enrichissement natifs de MISP</w:t>
      </w:r>
    </w:p>
    <w:p>
      <w:pPr>
        <w:pStyle w:val="ListParagraph"/>
        <w:numPr>
          <w:ilvl w:val="0"/>
          <w:numId w:val="2"/>
        </w:numPr>
        <w:spacing w:after="80"/>
      </w:pPr>
      <w:r>
        <w:rPr>
          <w:sz w:val="22"/>
          <w:szCs w:val="22"/>
        </w:rPr>
        <w:t xml:space="preserve">mail, un service SMTP interne pour les notifications</w:t>
      </w:r>
    </w:p>
    <w:p>
      <w:pPr>
        <w:spacing w:after="160" w:line="300"/>
      </w:pPr>
      <w:r>
        <w:rPr>
          <w:color w:val="1A1A1A"/>
          <w:sz w:val="22"/>
          <w:szCs w:val="22"/>
        </w:rPr>
        <w:t xml:space="preserve">Au premier démarrage, MISP initialise seul sa base de données, génère les clés GPG et synchronise ses taxonomies (180), ses modèles d'objets (424) et les galaxies MITRE. Ça prend entre 5 et 10 minutes.</w:t>
      </w:r>
    </w:p>
    <w:p>
      <w:pPr>
        <w:pStyle w:val="Heading2"/>
        <w:spacing w:after="140" w:before="280"/>
      </w:pPr>
      <w:r>
        <w:rPr>
          <w:b/>
          <w:bCs/>
          <w:color w:val="09254C"/>
          <w:sz w:val="24"/>
          <w:szCs w:val="24"/>
        </w:rPr>
        <w:t xml:space="preserve">3.2 Problèmes d'accès réseau et résolution</w:t>
      </w:r>
    </w:p>
    <w:p>
      <w:pPr>
        <w:spacing w:after="160" w:line="300"/>
      </w:pPr>
      <w:r>
        <w:rPr>
          <w:color w:val="1A1A1A"/>
          <w:sz w:val="22"/>
          <w:szCs w:val="22"/>
        </w:rPr>
        <w:t xml:space="preserve">L'accès à l'interface web depuis le poste hôte (Fedora) n'a pas fonctionné du premier coup. Plusieurs problèmes ont dû être réglés dans l'ordre :</w:t>
      </w:r>
    </w:p>
    <w:p>
      <w:pPr>
        <w:pStyle w:val="ListParagraph"/>
        <w:numPr>
          <w:ilvl w:val="0"/>
          <w:numId w:val="2"/>
        </w:numPr>
        <w:spacing w:after="80"/>
      </w:pPr>
      <w:r>
        <w:rPr>
          <w:sz w:val="22"/>
          <w:szCs w:val="22"/>
        </w:rPr>
        <w:t xml:space="preserve">La VM était en mode NAT sur VMware, donc pas accessible depuis le réseau local. Passage en mode Bridged pour obtenir une IP routable (192.168.1.207).</w:t>
      </w:r>
    </w:p>
    <w:p>
      <w:pPr>
        <w:pStyle w:val="ListParagraph"/>
        <w:numPr>
          <w:ilvl w:val="0"/>
          <w:numId w:val="2"/>
        </w:numPr>
        <w:spacing w:after="80"/>
      </w:pPr>
      <w:r>
        <w:rPr>
          <w:sz w:val="22"/>
          <w:szCs w:val="22"/>
        </w:rPr>
        <w:t xml:space="preserve">La variable BASE_URL de MISP était restée sur https://localhost, ce qui provoquait une boucle de redirection après connexion.</w:t>
      </w:r>
    </w:p>
    <w:p>
      <w:pPr>
        <w:pStyle w:val="ListParagraph"/>
        <w:numPr>
          <w:ilvl w:val="0"/>
          <w:numId w:val="2"/>
        </w:numPr>
        <w:spacing w:after="80"/>
      </w:pPr>
      <w:r>
        <w:rPr>
          <w:sz w:val="22"/>
          <w:szCs w:val="22"/>
        </w:rPr>
        <w:t xml:space="preserve">Avant de tester dans le navigateur, l'accessibilité a été vérifiée avec curl (code retour HTTP 302, ce qui confirme que le serveur répond bien).</w:t>
      </w:r>
    </w:p>
    <w:p>
      <w:pPr>
        <w:spacing w:after="160" w:line="300"/>
      </w:pPr>
      <w:r>
        <w:rPr>
          <w:color w:val="1A1A1A"/>
          <w:sz w:val="22"/>
          <w:szCs w:val="22"/>
        </w:rPr>
        <w:t xml:space="preserve">Une fois ces corrections faites, l'interface MISP est accessible normalement à l'adresse https://192.168.1.207. Le certificat étant auto-signé, le navigateur affiche un avertissement au premier accès, ce qui est normal.</w:t>
      </w:r>
    </w:p>
    <w:p>
      <w:pPr>
        <w:pStyle w:val="Heading2"/>
        <w:spacing w:after="140" w:before="280"/>
      </w:pPr>
      <w:r>
        <w:rPr>
          <w:b/>
          <w:bCs/>
          <w:color w:val="09254C"/>
          <w:sz w:val="24"/>
          <w:szCs w:val="24"/>
        </w:rPr>
        <w:t xml:space="preserve">3.3 Configuration après installation</w:t>
      </w:r>
    </w:p>
    <w:p>
      <w:pPr>
        <w:spacing w:after="80"/>
      </w:pPr>
      <w:r>
        <w:rPr>
          <w:b/>
          <w:bCs/>
          <w:color w:val="007751"/>
          <w:sz w:val="22"/>
          <w:szCs w:val="22"/>
        </w:rPr>
        <w:t xml:space="preserve">✔  </w:t>
      </w:r>
      <w:r>
        <w:rPr>
          <w:sz w:val="22"/>
          <w:szCs w:val="22"/>
        </w:rPr>
        <w:t xml:space="preserve">Changement du mot de passe administrateur par défaut</w:t>
      </w:r>
    </w:p>
    <w:p>
      <w:pPr>
        <w:spacing w:after="80"/>
      </w:pPr>
      <w:r>
        <w:rPr>
          <w:b/>
          <w:bCs/>
          <w:color w:val="007751"/>
          <w:sz w:val="22"/>
          <w:szCs w:val="22"/>
        </w:rPr>
        <w:t xml:space="preserve">✔  </w:t>
      </w:r>
      <w:r>
        <w:rPr>
          <w:sz w:val="22"/>
          <w:szCs w:val="22"/>
        </w:rPr>
        <w:t xml:space="preserve">Génération d'une clé API (dans Administration, List Auth Keys)</w:t>
      </w:r>
    </w:p>
    <w:p>
      <w:pPr>
        <w:spacing w:after="80"/>
      </w:pPr>
      <w:r>
        <w:rPr>
          <w:b/>
          <w:bCs/>
          <w:color w:val="007751"/>
          <w:sz w:val="22"/>
          <w:szCs w:val="22"/>
        </w:rPr>
        <w:t xml:space="preserve">✔  </w:t>
      </w:r>
      <w:r>
        <w:rPr>
          <w:sz w:val="22"/>
          <w:szCs w:val="22"/>
        </w:rPr>
        <w:t xml:space="preserve">Activation des flux de threat intelligence par défaut (CIRCL, Abuse.ch) depuis Sync Actions, Feeds</w:t>
      </w:r>
    </w:p>
    <w:p>
      <w:pPr>
        <w:spacing w:after="160" w:line="300"/>
      </w:pPr>
      <w:r>
        <w:rPr>
          <w:color w:val="1A1A1A"/>
          <w:sz w:val="22"/>
          <w:szCs w:val="22"/>
        </w:rPr>
        <w:t xml:space="preserve">Version de MISP déployée : 2.5.44.</w:t>
      </w:r>
    </w:p>
    <w:p>
      <w:pPr>
        <w:pStyle w:val="Heading2"/>
        <w:spacing w:after="140" w:before="280"/>
      </w:pPr>
      <w:r>
        <w:rPr>
          <w:b/>
          <w:bCs/>
          <w:color w:val="09254C"/>
          <w:sz w:val="24"/>
          <w:szCs w:val="24"/>
        </w:rPr>
        <w:t xml:space="preserve">3.4 Événement de test</w:t>
      </w:r>
    </w:p>
    <w:p>
      <w:pPr>
        <w:spacing w:after="160" w:line="300"/>
      </w:pPr>
      <w:r>
        <w:rPr>
          <w:color w:val="1A1A1A"/>
          <w:sz w:val="22"/>
          <w:szCs w:val="22"/>
        </w:rPr>
        <w:t xml:space="preserve">Pour vérifier que la chaîne complète fonctionne (ajout d'attributs, publication), j'ai créé un événement de test (Event ID 1662, publié le 25/07/2026) avec quatre indicateurs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50"/>
      </w:tblGrid>
      <w:tr>
        <w:trPr>
          <w:tblHeader/>
        </w:trPr>
        <w:tc>
          <w:tcPr>
            <w:tcW w:type="dxa" w:w="2400"/>
            <w:shd w:fill="09254C" w:val="clear"/>
            <w:tcMar>
              <w:top w:type="dxa" w:w="90"/>
              <w:left w:type="dxa" w:w="120"/>
              <w:bottom w:type="dxa" w:w="90"/>
              <w:right w:type="dxa" w:w="120"/>
            </w:tcMar>
          </w:tcPr>
          <w:p>
            <w:r>
              <w:rPr>
                <w:b/>
                <w:bCs/>
                <w:color w:val="FFFFFF"/>
                <w:sz w:val="20"/>
                <w:szCs w:val="20"/>
              </w:rPr>
              <w:t xml:space="preserve">Catégorie</w:t>
            </w:r>
          </w:p>
        </w:tc>
        <w:tc>
          <w:tcPr>
            <w:tcW w:type="dxa" w:w="1600"/>
            <w:shd w:fill="09254C" w:val="clear"/>
            <w:tcMar>
              <w:top w:type="dxa" w:w="90"/>
              <w:left w:type="dxa" w:w="120"/>
              <w:bottom w:type="dxa" w:w="90"/>
              <w:right w:type="dxa" w:w="120"/>
            </w:tcMar>
          </w:tcPr>
          <w:p>
            <w:r>
              <w:rPr>
                <w:b/>
                <w:bCs/>
                <w:color w:val="FFFFFF"/>
                <w:sz w:val="20"/>
                <w:szCs w:val="20"/>
              </w:rPr>
              <w:t xml:space="preserve">Type</w:t>
            </w:r>
          </w:p>
        </w:tc>
        <w:tc>
          <w:tcPr>
            <w:tcW w:type="dxa" w:w="5350"/>
            <w:shd w:fill="09254C" w:val="clear"/>
            <w:tcMar>
              <w:top w:type="dxa" w:w="90"/>
              <w:left w:type="dxa" w:w="120"/>
              <w:bottom w:type="dxa" w:w="90"/>
              <w:right w:type="dxa" w:w="120"/>
            </w:tcMar>
          </w:tcPr>
          <w:p>
            <w:r>
              <w:rPr>
                <w:b/>
                <w:bCs/>
                <w:color w:val="FFFFFF"/>
                <w:sz w:val="20"/>
                <w:szCs w:val="20"/>
              </w:rPr>
              <w:t xml:space="preserve">Valeur</w:t>
            </w:r>
          </w:p>
        </w:tc>
      </w:tr>
      <w:tr>
        <w:tc>
          <w:tcPr>
            <w:tcW w:type="dxa" w:w="2400"/>
            <w:shd w:fill="FFFFFF" w:val="clear"/>
            <w:tcMar>
              <w:top w:type="dxa" w:w="90"/>
              <w:left w:type="dxa" w:w="120"/>
              <w:bottom w:type="dxa" w:w="90"/>
              <w:right w:type="dxa" w:w="120"/>
            </w:tcMar>
          </w:tcPr>
          <w:p>
            <w:r>
              <w:rPr>
                <w:sz w:val="20"/>
                <w:szCs w:val="20"/>
              </w:rPr>
              <w:t xml:space="preserve">Payload delivery</w:t>
            </w:r>
          </w:p>
        </w:tc>
        <w:tc>
          <w:tcPr>
            <w:tcW w:type="dxa" w:w="1600"/>
            <w:shd w:fill="FFFFFF" w:val="clear"/>
            <w:tcMar>
              <w:top w:type="dxa" w:w="90"/>
              <w:left w:type="dxa" w:w="120"/>
              <w:bottom w:type="dxa" w:w="90"/>
              <w:right w:type="dxa" w:w="120"/>
            </w:tcMar>
          </w:tcPr>
          <w:p>
            <w:r>
              <w:rPr>
                <w:sz w:val="20"/>
                <w:szCs w:val="20"/>
              </w:rPr>
              <w:t xml:space="preserve">md5</w:t>
            </w:r>
          </w:p>
        </w:tc>
        <w:tc>
          <w:tcPr>
            <w:tcW w:type="dxa" w:w="5350"/>
            <w:shd w:fill="FFFFFF" w:val="clear"/>
            <w:tcMar>
              <w:top w:type="dxa" w:w="90"/>
              <w:left w:type="dxa" w:w="120"/>
              <w:bottom w:type="dxa" w:w="90"/>
              <w:right w:type="dxa" w:w="120"/>
            </w:tcMar>
          </w:tcPr>
          <w:p>
            <w:r>
              <w:rPr>
                <w:rFonts w:ascii="Consolas" w:cs="Consolas" w:eastAsia="Consolas" w:hAnsi="Consolas"/>
                <w:sz w:val="20"/>
                <w:szCs w:val="20"/>
              </w:rPr>
              <w:t xml:space="preserve">44d88612fea8a8f36de82e1278abb02f</w:t>
            </w:r>
          </w:p>
        </w:tc>
      </w:tr>
      <w:tr>
        <w:tc>
          <w:tcPr>
            <w:tcW w:type="dxa" w:w="2400"/>
            <w:shd w:fill="F2F2F2" w:val="clear"/>
            <w:tcMar>
              <w:top w:type="dxa" w:w="90"/>
              <w:left w:type="dxa" w:w="120"/>
              <w:bottom w:type="dxa" w:w="90"/>
              <w:right w:type="dxa" w:w="120"/>
            </w:tcMar>
          </w:tcPr>
          <w:p>
            <w:r>
              <w:rPr>
                <w:sz w:val="20"/>
                <w:szCs w:val="20"/>
              </w:rPr>
              <w:t xml:space="preserve">Network activity</w:t>
            </w:r>
          </w:p>
        </w:tc>
        <w:tc>
          <w:tcPr>
            <w:tcW w:type="dxa" w:w="1600"/>
            <w:shd w:fill="F2F2F2" w:val="clear"/>
            <w:tcMar>
              <w:top w:type="dxa" w:w="90"/>
              <w:left w:type="dxa" w:w="120"/>
              <w:bottom w:type="dxa" w:w="90"/>
              <w:right w:type="dxa" w:w="120"/>
            </w:tcMar>
          </w:tcPr>
          <w:p>
            <w:r>
              <w:rPr>
                <w:sz w:val="20"/>
                <w:szCs w:val="20"/>
              </w:rPr>
              <w:t xml:space="preserve">url</w:t>
            </w:r>
          </w:p>
        </w:tc>
        <w:tc>
          <w:tcPr>
            <w:tcW w:type="dxa" w:w="5350"/>
            <w:shd w:fill="F2F2F2" w:val="clear"/>
            <w:tcMar>
              <w:top w:type="dxa" w:w="90"/>
              <w:left w:type="dxa" w:w="120"/>
              <w:bottom w:type="dxa" w:w="90"/>
              <w:right w:type="dxa" w:w="120"/>
            </w:tcMar>
          </w:tcPr>
          <w:p>
            <w:r>
              <w:rPr>
                <w:rFonts w:ascii="Consolas" w:cs="Consolas" w:eastAsia="Consolas" w:hAnsi="Consolas"/>
                <w:sz w:val="20"/>
                <w:szCs w:val="20"/>
              </w:rPr>
              <w:t xml:space="preserve">http://phishing-test-example.com/login</w:t>
            </w:r>
          </w:p>
        </w:tc>
      </w:tr>
      <w:tr>
        <w:tc>
          <w:tcPr>
            <w:tcW w:type="dxa" w:w="2400"/>
            <w:shd w:fill="FFFFFF" w:val="clear"/>
            <w:tcMar>
              <w:top w:type="dxa" w:w="90"/>
              <w:left w:type="dxa" w:w="120"/>
              <w:bottom w:type="dxa" w:w="90"/>
              <w:right w:type="dxa" w:w="120"/>
            </w:tcMar>
          </w:tcPr>
          <w:p>
            <w:r>
              <w:rPr>
                <w:sz w:val="20"/>
                <w:szCs w:val="20"/>
              </w:rPr>
              <w:t xml:space="preserve">Network activity</w:t>
            </w:r>
          </w:p>
        </w:tc>
        <w:tc>
          <w:tcPr>
            <w:tcW w:type="dxa" w:w="1600"/>
            <w:shd w:fill="FFFFFF" w:val="clear"/>
            <w:tcMar>
              <w:top w:type="dxa" w:w="90"/>
              <w:left w:type="dxa" w:w="120"/>
              <w:bottom w:type="dxa" w:w="90"/>
              <w:right w:type="dxa" w:w="120"/>
            </w:tcMar>
          </w:tcPr>
          <w:p>
            <w:r>
              <w:rPr>
                <w:sz w:val="20"/>
                <w:szCs w:val="20"/>
              </w:rPr>
              <w:t xml:space="preserve">domain</w:t>
            </w:r>
          </w:p>
        </w:tc>
        <w:tc>
          <w:tcPr>
            <w:tcW w:type="dxa" w:w="5350"/>
            <w:shd w:fill="FFFFFF" w:val="clear"/>
            <w:tcMar>
              <w:top w:type="dxa" w:w="90"/>
              <w:left w:type="dxa" w:w="120"/>
              <w:bottom w:type="dxa" w:w="90"/>
              <w:right w:type="dxa" w:w="120"/>
            </w:tcMar>
          </w:tcPr>
          <w:p>
            <w:r>
              <w:rPr>
                <w:rFonts w:ascii="Consolas" w:cs="Consolas" w:eastAsia="Consolas" w:hAnsi="Consolas"/>
                <w:sz w:val="20"/>
                <w:szCs w:val="20"/>
              </w:rPr>
              <w:t xml:space="preserve">malicious-test-domain.com</w:t>
            </w:r>
          </w:p>
        </w:tc>
      </w:tr>
      <w:tr>
        <w:tc>
          <w:tcPr>
            <w:tcW w:type="dxa" w:w="2400"/>
            <w:shd w:fill="F2F2F2" w:val="clear"/>
            <w:tcMar>
              <w:top w:type="dxa" w:w="90"/>
              <w:left w:type="dxa" w:w="120"/>
              <w:bottom w:type="dxa" w:w="90"/>
              <w:right w:type="dxa" w:w="120"/>
            </w:tcMar>
          </w:tcPr>
          <w:p>
            <w:r>
              <w:rPr>
                <w:sz w:val="20"/>
                <w:szCs w:val="20"/>
              </w:rPr>
              <w:t xml:space="preserve">Network activity</w:t>
            </w:r>
          </w:p>
        </w:tc>
        <w:tc>
          <w:tcPr>
            <w:tcW w:type="dxa" w:w="1600"/>
            <w:shd w:fill="F2F2F2" w:val="clear"/>
            <w:tcMar>
              <w:top w:type="dxa" w:w="90"/>
              <w:left w:type="dxa" w:w="120"/>
              <w:bottom w:type="dxa" w:w="90"/>
              <w:right w:type="dxa" w:w="120"/>
            </w:tcMar>
          </w:tcPr>
          <w:p>
            <w:r>
              <w:rPr>
                <w:sz w:val="20"/>
                <w:szCs w:val="20"/>
              </w:rPr>
              <w:t xml:space="preserve">ip-dst</w:t>
            </w:r>
          </w:p>
        </w:tc>
        <w:tc>
          <w:tcPr>
            <w:tcW w:type="dxa" w:w="5350"/>
            <w:shd w:fill="F2F2F2" w:val="clear"/>
            <w:tcMar>
              <w:top w:type="dxa" w:w="90"/>
              <w:left w:type="dxa" w:w="120"/>
              <w:bottom w:type="dxa" w:w="90"/>
              <w:right w:type="dxa" w:w="120"/>
            </w:tcMar>
          </w:tcPr>
          <w:p>
            <w:r>
              <w:rPr>
                <w:rFonts w:ascii="Consolas" w:cs="Consolas" w:eastAsia="Consolas" w:hAnsi="Consolas"/>
                <w:sz w:val="20"/>
                <w:szCs w:val="20"/>
              </w:rPr>
              <w:t xml:space="preserve">185.220.101.45</w:t>
            </w:r>
          </w:p>
        </w:tc>
      </w:tr>
    </w:tbl>
    <w:p>
      <w:pPr>
        <w:spacing w:after="160" w:line="300"/>
      </w:pPr>
      <w:r>
        <w:rPr>
          <w:color w:val="1A1A1A"/>
          <w:sz w:val="22"/>
          <w:szCs w:val="22"/>
        </w:rPr>
        <w:t xml:space="preserve">L'événement a été publié sans problème (statut Published: Yes), ce qui confirme que le workflow de MISP fonctionne correctement.</w:t>
      </w:r>
    </w:p>
    <w:p>
      <w:pPr>
        <w:pStyle w:val="Heading1"/>
        <w:pBdr>
          <w:bottom w:val="single" w:color="007751" w:sz="8" w:space="4"/>
        </w:pBdr>
        <w:spacing w:after="200" w:before="360"/>
      </w:pPr>
      <w:r>
        <w:rPr>
          <w:b/>
          <w:bCs/>
          <w:color w:val="09254C"/>
          <w:sz w:val="30"/>
          <w:szCs w:val="30"/>
        </w:rPr>
        <w:t xml:space="preserve">4. Déploiement de Cortex</w:t>
      </w:r>
    </w:p>
    <w:p>
      <w:pPr>
        <w:pStyle w:val="Heading2"/>
        <w:spacing w:after="140" w:before="280"/>
      </w:pPr>
      <w:r>
        <w:rPr>
          <w:b/>
          <w:bCs/>
          <w:color w:val="09254C"/>
          <w:sz w:val="24"/>
          <w:szCs w:val="24"/>
        </w:rPr>
        <w:t xml:space="preserve">4.1 Architecture de déploiement</w:t>
      </w:r>
    </w:p>
    <w:p>
      <w:pPr>
        <w:spacing w:after="160" w:line="300"/>
      </w:pPr>
      <w:r>
        <w:rPr>
          <w:color w:val="1A1A1A"/>
          <w:sz w:val="22"/>
          <w:szCs w:val="22"/>
        </w:rPr>
        <w:t xml:space="preserve">Cortex a été installé séparément de MISP, dans ~/soc-lab/cortex, avec deux conteneurs :</w:t>
      </w:r>
    </w:p>
    <w:p>
      <w:pPr>
        <w:pStyle w:val="ListParagraph"/>
        <w:numPr>
          <w:ilvl w:val="0"/>
          <w:numId w:val="2"/>
        </w:numPr>
        <w:spacing w:after="80"/>
      </w:pPr>
      <w:r>
        <w:rPr>
          <w:sz w:val="22"/>
          <w:szCs w:val="22"/>
        </w:rPr>
        <w:t xml:space="preserve">elasticsearch 7.17.9, pour indexer et stocker les jobs d'analyse</w:t>
      </w:r>
    </w:p>
    <w:p>
      <w:pPr>
        <w:pStyle w:val="ListParagraph"/>
        <w:numPr>
          <w:ilvl w:val="0"/>
          <w:numId w:val="2"/>
        </w:numPr>
        <w:spacing w:after="80"/>
      </w:pPr>
      <w:r>
        <w:rPr>
          <w:sz w:val="22"/>
          <w:szCs w:val="22"/>
        </w:rPr>
        <w:t xml:space="preserve">cortex 3.1.8 (image thehiveproject/cortex), le moteur qui orchestre les analyzers</w:t>
      </w:r>
    </w:p>
    <w:p>
      <w:pPr>
        <w:spacing w:after="160" w:line="300"/>
      </w:pPr>
      <w:r>
        <w:rPr>
          <w:color w:val="1A1A1A"/>
          <w:sz w:val="22"/>
          <w:szCs w:val="22"/>
        </w:rPr>
        <w:t xml:space="preserve">L'interface est accessible sur le port 9001, à l'adresse http://192.168.1.207:9001.</w:t>
      </w:r>
    </w:p>
    <w:p>
      <w:pPr>
        <w:pStyle w:val="Heading2"/>
        <w:spacing w:after="140" w:before="280"/>
      </w:pPr>
      <w:r>
        <w:rPr>
          <w:b/>
          <w:bCs/>
          <w:color w:val="09254C"/>
          <w:sz w:val="24"/>
          <w:szCs w:val="24"/>
        </w:rPr>
        <w:t xml:space="preserve">4.2 Ajout des Cortex-Analyzers</w:t>
      </w:r>
    </w:p>
    <w:p>
      <w:pPr>
        <w:spacing w:after="160" w:line="300"/>
      </w:pPr>
      <w:r>
        <w:rPr>
          <w:color w:val="1A1A1A"/>
          <w:sz w:val="22"/>
          <w:szCs w:val="22"/>
        </w:rPr>
        <w:t xml:space="preserve">L'image Docker officielle ne contient pas le catalogue d'analyzers par défaut. Il a fallu cloner le dépôt TheHive-Project/Cortex-Analyzers (275 analyzers au total) et le monter comme volume dans le conteneur, avec un fichier application.conf qui pointe vers les chemins locaux :</w:t>
      </w:r>
    </w:p>
    <w:p>
      <w:pPr>
        <w:pBdr>
          <w:top w:val="single" w:color="1E1E1E" w:sz="4" w:space="4"/>
          <w:bottom w:val="single" w:color="1E1E1E" w:sz="4" w:space="4"/>
          <w:left w:val="single" w:color="1E1E1E" w:sz="4" w:space="4"/>
          <w:right w:val="single" w:color="1E1E1E" w:sz="4" w:space="4"/>
        </w:pBdr>
        <w:shd w:fill="1E1E1E" w:val="clear"/>
        <w:spacing w:after="200" w:before="100"/>
      </w:pPr>
      <w:r>
        <w:rPr>
          <w:rFonts w:ascii="Consolas" w:cs="Consolas" w:eastAsia="Consolas" w:hAnsi="Consolas"/>
          <w:color w:val="D4D4D4"/>
          <w:sz w:val="18"/>
          <w:szCs w:val="18"/>
        </w:rPr>
        <w:t xml:space="preserve">analyzer {</w:t>
      </w:r>
      <w:r>
        <w:rPr>
          <w:rFonts w:ascii="Consolas" w:cs="Consolas" w:eastAsia="Consolas" w:hAnsi="Consolas"/>
          <w:color w:val="D4D4D4"/>
          <w:sz w:val="18"/>
          <w:szCs w:val="18"/>
        </w:rPr>
        <w:br/>
        <w:t xml:space="preserve">  urls = [</w:t>
      </w:r>
      <w:r>
        <w:rPr>
          <w:rFonts w:ascii="Consolas" w:cs="Consolas" w:eastAsia="Consolas" w:hAnsi="Consolas"/>
          <w:color w:val="D4D4D4"/>
          <w:sz w:val="18"/>
          <w:szCs w:val="18"/>
        </w:rPr>
        <w:br/>
        <w:t xml:space="preserve">    "https://download.thehive-project.org/analyzers.json"</w:t>
      </w:r>
      <w:r>
        <w:rPr>
          <w:rFonts w:ascii="Consolas" w:cs="Consolas" w:eastAsia="Consolas" w:hAnsi="Consolas"/>
          <w:color w:val="D4D4D4"/>
          <w:sz w:val="18"/>
          <w:szCs w:val="18"/>
        </w:rPr>
        <w:br/>
        <w:t xml:space="preserve">    "/opt/Cortex-Analyzers/analyzers"</w:t>
      </w:r>
      <w:r>
        <w:rPr>
          <w:rFonts w:ascii="Consolas" w:cs="Consolas" w:eastAsia="Consolas" w:hAnsi="Consolas"/>
          <w:color w:val="D4D4D4"/>
          <w:sz w:val="18"/>
          <w:szCs w:val="18"/>
        </w:rPr>
        <w:br/>
        <w:t xml:space="preserve">  ]</w:t>
      </w:r>
      <w:r>
        <w:rPr>
          <w:rFonts w:ascii="Consolas" w:cs="Consolas" w:eastAsia="Consolas" w:hAnsi="Consolas"/>
          <w:color w:val="D4D4D4"/>
          <w:sz w:val="18"/>
          <w:szCs w:val="18"/>
        </w:rPr>
        <w:br/>
        <w:t xml:space="preserve">}</w:t>
      </w:r>
    </w:p>
    <w:p>
      <w:pPr>
        <w:spacing w:after="160" w:line="300"/>
      </w:pPr>
      <w:r>
        <w:rPr>
          <w:color w:val="1A1A1A"/>
          <w:sz w:val="22"/>
          <w:szCs w:val="22"/>
        </w:rPr>
        <w:t xml:space="preserve">Les analyzers ont besoin de bibliothèques Python (cortexutils, requests, shodan) qui ne sont pas présentes dans l'image de base. Elles ont été installées à la main avec pip3 directement dans le conteneur.</w:t>
      </w:r>
    </w:p>
    <w:p>
      <w:pPr>
        <w:pStyle w:val="Heading2"/>
        <w:spacing w:after="140" w:before="280"/>
      </w:pPr>
      <w:r>
        <w:rPr>
          <w:b/>
          <w:bCs/>
          <w:color w:val="09254C"/>
          <w:sz w:val="24"/>
          <w:szCs w:val="24"/>
        </w:rPr>
        <w:t xml:space="preserve">4.3 Organisation et comptes</w:t>
      </w:r>
    </w:p>
    <w:p>
      <w:pPr>
        <w:spacing w:after="160" w:line="300"/>
      </w:pPr>
      <w:r>
        <w:rPr>
          <w:color w:val="1A1A1A"/>
          <w:sz w:val="22"/>
          <w:szCs w:val="22"/>
        </w:rPr>
        <w:t xml:space="preserve">Une organisation SOC-Lab a été créée dans Cortex, avec un compte orgAdmin (socadmin). Ce compte est nécessaire pour accéder à la configuration des analyzers : le compte super-admin par défaut n'y a pas accès, seul un orgAdmin peut les activer.</w:t>
      </w:r>
    </w:p>
    <w:p>
      <w:pPr>
        <w:pStyle w:val="Heading2"/>
        <w:spacing w:after="140" w:before="280"/>
      </w:pPr>
      <w:r>
        <w:rPr>
          <w:b/>
          <w:bCs/>
          <w:color w:val="09254C"/>
          <w:sz w:val="24"/>
          <w:szCs w:val="24"/>
        </w:rPr>
        <w:t xml:space="preserve">4.4 Analyzers activés et testés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4700"/>
        <w:gridCol w:w="1250"/>
      </w:tblGrid>
      <w:tr>
        <w:trPr>
          <w:tblHeader/>
        </w:trPr>
        <w:tc>
          <w:tcPr>
            <w:tcW w:type="dxa" w:w="3400"/>
            <w:shd w:fill="09254C" w:val="clear"/>
            <w:tcMar>
              <w:top w:type="dxa" w:w="90"/>
              <w:left w:type="dxa" w:w="120"/>
              <w:bottom w:type="dxa" w:w="90"/>
              <w:right w:type="dxa" w:w="120"/>
            </w:tcMar>
          </w:tcPr>
          <w:p>
            <w:r>
              <w:rPr>
                <w:b/>
                <w:bCs/>
                <w:color w:val="FFFFFF"/>
                <w:sz w:val="20"/>
                <w:szCs w:val="20"/>
              </w:rPr>
              <w:t xml:space="preserve">Analyzer</w:t>
            </w:r>
          </w:p>
        </w:tc>
        <w:tc>
          <w:tcPr>
            <w:tcW w:type="dxa" w:w="4700"/>
            <w:shd w:fill="09254C" w:val="clear"/>
            <w:tcMar>
              <w:top w:type="dxa" w:w="90"/>
              <w:left w:type="dxa" w:w="120"/>
              <w:bottom w:type="dxa" w:w="90"/>
              <w:right w:type="dxa" w:w="120"/>
            </w:tcMar>
          </w:tcPr>
          <w:p>
            <w:r>
              <w:rPr>
                <w:b/>
                <w:bCs/>
                <w:color w:val="FFFFFF"/>
                <w:sz w:val="20"/>
                <w:szCs w:val="20"/>
              </w:rPr>
              <w:t xml:space="preserve">Fonction</w:t>
            </w:r>
          </w:p>
        </w:tc>
        <w:tc>
          <w:tcPr>
            <w:tcW w:type="dxa" w:w="1250"/>
            <w:shd w:fill="09254C" w:val="clear"/>
            <w:tcMar>
              <w:top w:type="dxa" w:w="90"/>
              <w:left w:type="dxa" w:w="120"/>
              <w:bottom w:type="dxa" w:w="90"/>
              <w:right w:type="dxa" w:w="120"/>
            </w:tcMar>
          </w:tcPr>
          <w:p>
            <w:r>
              <w:rPr>
                <w:b/>
                <w:bCs/>
                <w:color w:val="FFFFFF"/>
                <w:sz w:val="20"/>
                <w:szCs w:val="20"/>
              </w:rPr>
              <w:t xml:space="preserve">Statut</w:t>
            </w:r>
          </w:p>
        </w:tc>
      </w:tr>
      <w:tr>
        <w:tc>
          <w:tcPr>
            <w:tcW w:type="dxa" w:w="3400"/>
            <w:shd w:fill="FFFFFF" w:val="clear"/>
            <w:tcMar>
              <w:top w:type="dxa" w:w="90"/>
              <w:left w:type="dxa" w:w="120"/>
              <w:bottom w:type="dxa" w:w="90"/>
              <w:right w:type="dxa" w:w="120"/>
            </w:tcMar>
          </w:tcPr>
          <w:p>
            <w:r>
              <w:rPr>
                <w:sz w:val="20"/>
                <w:szCs w:val="20"/>
              </w:rPr>
              <w:t xml:space="preserve">VirusTotal_GetReport_3.1</w:t>
            </w:r>
          </w:p>
        </w:tc>
        <w:tc>
          <w:tcPr>
            <w:tcW w:type="dxa" w:w="4700"/>
            <w:shd w:fill="FFFFFF" w:val="clear"/>
            <w:tcMar>
              <w:top w:type="dxa" w:w="90"/>
              <w:left w:type="dxa" w:w="120"/>
              <w:bottom w:type="dxa" w:w="90"/>
              <w:right w:type="dxa" w:w="120"/>
            </w:tcMar>
          </w:tcPr>
          <w:p>
            <w:r>
              <w:rPr>
                <w:sz w:val="20"/>
                <w:szCs w:val="20"/>
              </w:rPr>
              <w:t xml:space="preserve">Réputation fichiers / hash / IP / domaine</w:t>
            </w:r>
          </w:p>
        </w:tc>
        <w:tc>
          <w:tcPr>
            <w:tcW w:type="dxa" w:w="1250"/>
            <w:shd w:fill="FFFFFF" w:val="clear"/>
            <w:tcMar>
              <w:top w:type="dxa" w:w="90"/>
              <w:left w:type="dxa" w:w="120"/>
              <w:bottom w:type="dxa" w:w="90"/>
              <w:right w:type="dxa" w:w="120"/>
            </w:tcMar>
          </w:tcPr>
          <w:p>
            <w:r>
              <w:rPr>
                <w:sz w:val="20"/>
                <w:szCs w:val="20"/>
              </w:rPr>
              <w:t xml:space="preserve">Activé</w:t>
            </w:r>
          </w:p>
        </w:tc>
      </w:tr>
      <w:tr>
        <w:tc>
          <w:tcPr>
            <w:tcW w:type="dxa" w:w="3400"/>
            <w:shd w:fill="F2F2F2" w:val="clear"/>
            <w:tcMar>
              <w:top w:type="dxa" w:w="90"/>
              <w:left w:type="dxa" w:w="120"/>
              <w:bottom w:type="dxa" w:w="90"/>
              <w:right w:type="dxa" w:w="120"/>
            </w:tcMar>
          </w:tcPr>
          <w:p>
            <w:r>
              <w:rPr>
                <w:sz w:val="20"/>
                <w:szCs w:val="20"/>
              </w:rPr>
              <w:t xml:space="preserve">AbuseIPDB_2.0</w:t>
            </w:r>
          </w:p>
        </w:tc>
        <w:tc>
          <w:tcPr>
            <w:tcW w:type="dxa" w:w="4700"/>
            <w:shd w:fill="F2F2F2" w:val="clear"/>
            <w:tcMar>
              <w:top w:type="dxa" w:w="90"/>
              <w:left w:type="dxa" w:w="120"/>
              <w:bottom w:type="dxa" w:w="90"/>
              <w:right w:type="dxa" w:w="120"/>
            </w:tcMar>
          </w:tcPr>
          <w:p>
            <w:r>
              <w:rPr>
                <w:sz w:val="20"/>
                <w:szCs w:val="20"/>
              </w:rPr>
              <w:t xml:space="preserve">Score de confiance d'abus pour IP</w:t>
            </w:r>
          </w:p>
        </w:tc>
        <w:tc>
          <w:tcPr>
            <w:tcW w:type="dxa" w:w="1250"/>
            <w:shd w:fill="F2F2F2" w:val="clear"/>
            <w:tcMar>
              <w:top w:type="dxa" w:w="90"/>
              <w:left w:type="dxa" w:w="120"/>
              <w:bottom w:type="dxa" w:w="90"/>
              <w:right w:type="dxa" w:w="120"/>
            </w:tcMar>
          </w:tcPr>
          <w:p>
            <w:r>
              <w:rPr>
                <w:sz w:val="20"/>
                <w:szCs w:val="20"/>
              </w:rPr>
              <w:t xml:space="preserve">Activé (clé API à revalider)</w:t>
            </w:r>
          </w:p>
        </w:tc>
      </w:tr>
      <w:tr>
        <w:tc>
          <w:tcPr>
            <w:tcW w:type="dxa" w:w="3400"/>
            <w:shd w:fill="FFFFFF" w:val="clear"/>
            <w:tcMar>
              <w:top w:type="dxa" w:w="90"/>
              <w:left w:type="dxa" w:w="120"/>
              <w:bottom w:type="dxa" w:w="90"/>
              <w:right w:type="dxa" w:w="120"/>
            </w:tcMar>
          </w:tcPr>
          <w:p>
            <w:r>
              <w:rPr>
                <w:sz w:val="20"/>
                <w:szCs w:val="20"/>
              </w:rPr>
              <w:t xml:space="preserve">Shodan_Host_1.0</w:t>
            </w:r>
          </w:p>
        </w:tc>
        <w:tc>
          <w:tcPr>
            <w:tcW w:type="dxa" w:w="4700"/>
            <w:shd w:fill="FFFFFF" w:val="clear"/>
            <w:tcMar>
              <w:top w:type="dxa" w:w="90"/>
              <w:left w:type="dxa" w:w="120"/>
              <w:bottom w:type="dxa" w:w="90"/>
              <w:right w:type="dxa" w:w="120"/>
            </w:tcMar>
          </w:tcPr>
          <w:p>
            <w:r>
              <w:rPr>
                <w:sz w:val="20"/>
                <w:szCs w:val="20"/>
              </w:rPr>
              <w:t xml:space="preserve">Reconnaissance d'hôte, ports et services exposés</w:t>
            </w:r>
          </w:p>
        </w:tc>
        <w:tc>
          <w:tcPr>
            <w:tcW w:type="dxa" w:w="1250"/>
            <w:shd w:fill="FFFFFF" w:val="clear"/>
            <w:tcMar>
              <w:top w:type="dxa" w:w="90"/>
              <w:left w:type="dxa" w:w="120"/>
              <w:bottom w:type="dxa" w:w="90"/>
              <w:right w:type="dxa" w:w="120"/>
            </w:tcMar>
          </w:tcPr>
          <w:p>
            <w:r>
              <w:rPr>
                <w:sz w:val="20"/>
                <w:szCs w:val="20"/>
              </w:rPr>
              <w:t xml:space="preserve">Activé, testé avec succès (8.8.8.8)</w:t>
            </w:r>
          </w:p>
        </w:tc>
      </w:tr>
    </w:tbl>
    <w:p>
      <w:pPr>
        <w:spacing w:after="160" w:line="300"/>
      </w:pPr>
      <w:r>
        <w:rPr>
          <w:color w:val="1A1A1A"/>
          <w:sz w:val="22"/>
          <w:szCs w:val="22"/>
        </w:rPr>
        <w:t xml:space="preserve">Un test a été fait sur l'IP 8.8.8.8 avec les trois analyzers. L'analyzer Shodan_Host a renvoyé un résultat Success, ce qui confirme que la chaîne fonctionne de bout en bout (Cortex, dépendances Python, appel à l'API externe).</w:t>
      </w:r>
    </w:p>
    <w:p>
      <w:pPr>
        <w:pStyle w:val="Heading1"/>
        <w:pBdr>
          <w:bottom w:val="single" w:color="007751" w:sz="8" w:space="4"/>
        </w:pBdr>
        <w:spacing w:after="200" w:before="360"/>
      </w:pPr>
      <w:r>
        <w:rPr>
          <w:b/>
          <w:bCs/>
          <w:color w:val="09254C"/>
          <w:sz w:val="30"/>
          <w:szCs w:val="30"/>
        </w:rPr>
        <w:t xml:space="preserve">5. Intégration Cortex et MISP</w:t>
      </w:r>
    </w:p>
    <w:p>
      <w:pPr>
        <w:spacing w:after="160" w:line="300"/>
      </w:pPr>
      <w:r>
        <w:rPr>
          <w:color w:val="1A1A1A"/>
          <w:sz w:val="22"/>
          <w:szCs w:val="22"/>
        </w:rPr>
        <w:t xml:space="preserve">Une clé API a été générée côté Cortex (compte socadmin), puis ajoutée dans MISP via Administration, Server Settings and Maintenance, Plugin Settings, section Cortex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09254C" w:val="clear"/>
            <w:tcMar>
              <w:top w:type="dxa" w:w="100"/>
              <w:left w:type="dxa" w:w="150"/>
              <w:bottom w:type="dxa" w:w="100"/>
              <w:right w:type="dxa" w:w="150"/>
            </w:tcMar>
          </w:tcPr>
          <w:p>
            <w:r>
              <w:rPr>
                <w:b/>
                <w:bCs/>
                <w:color w:val="FFFFFF"/>
                <w:sz w:val="20"/>
                <w:szCs w:val="20"/>
              </w:rPr>
              <w:t xml:space="preserve">Plugin.Cortex_services_enable</w:t>
            </w:r>
          </w:p>
        </w:tc>
        <w:tc>
          <w:tcPr>
            <w:tcW w:type="dxa" w:w="6750"/>
            <w:shd w:fill="09254C" w:val="clear"/>
            <w:tcMar>
              <w:top w:type="dxa" w:w="100"/>
              <w:left w:type="dxa" w:w="150"/>
              <w:bottom w:type="dxa" w:w="100"/>
              <w:right w:type="dxa" w:w="150"/>
            </w:tcMar>
          </w:tcPr>
          <w:p>
            <w:r>
              <w:rPr>
                <w:b/>
                <w:bCs/>
                <w:color w:val="FFFFFF"/>
                <w:sz w:val="20"/>
                <w:szCs w:val="20"/>
              </w:rPr>
              <w:t xml:space="preserve">true</w:t>
            </w:r>
          </w:p>
        </w:tc>
      </w:tr>
      <w:tr>
        <w:tc>
          <w:tcPr>
            <w:tcW w:type="dxa" w:w="2600"/>
            <w:shd w:fill="F2F2F2" w:val="clear"/>
            <w:tcMar>
              <w:top w:type="dxa" w:w="100"/>
              <w:left w:type="dxa" w:w="150"/>
              <w:bottom w:type="dxa" w:w="100"/>
              <w:right w:type="dxa" w:w="150"/>
            </w:tcMar>
          </w:tcPr>
          <w:p>
            <w:r>
              <w:rPr>
                <w:b/>
                <w:bCs/>
                <w:color w:val="09254C"/>
                <w:sz w:val="20"/>
                <w:szCs w:val="20"/>
              </w:rPr>
              <w:t xml:space="preserve">Plugin.Cortex_services_url</w:t>
            </w:r>
          </w:p>
        </w:tc>
        <w:tc>
          <w:tcPr>
            <w:tcW w:type="dxa" w:w="6750"/>
            <w:shd w:fill="FFFFFF" w:val="clear"/>
            <w:tcMar>
              <w:top w:type="dxa" w:w="100"/>
              <w:left w:type="dxa" w:w="150"/>
              <w:bottom w:type="dxa" w:w="100"/>
              <w:right w:type="dxa" w:w="150"/>
            </w:tcMar>
          </w:tcPr>
          <w:p>
            <w:r>
              <w:rPr>
                <w:b w:val="false"/>
                <w:bCs w:val="false"/>
                <w:color w:val="1A1A1A"/>
                <w:sz w:val="20"/>
                <w:szCs w:val="20"/>
              </w:rPr>
              <w:t xml:space="preserve">http://192.168.1.207</w:t>
            </w:r>
          </w:p>
        </w:tc>
      </w:tr>
      <w:tr>
        <w:tc>
          <w:tcPr>
            <w:tcW w:type="dxa" w:w="2600"/>
            <w:shd w:fill="F2F2F2" w:val="clear"/>
            <w:tcMar>
              <w:top w:type="dxa" w:w="100"/>
              <w:left w:type="dxa" w:w="150"/>
              <w:bottom w:type="dxa" w:w="100"/>
              <w:right w:type="dxa" w:w="150"/>
            </w:tcMar>
          </w:tcPr>
          <w:p>
            <w:r>
              <w:rPr>
                <w:b/>
                <w:bCs/>
                <w:color w:val="09254C"/>
                <w:sz w:val="20"/>
                <w:szCs w:val="20"/>
              </w:rPr>
              <w:t xml:space="preserve">Plugin.Cortex_services_port</w:t>
            </w:r>
          </w:p>
        </w:tc>
        <w:tc>
          <w:tcPr>
            <w:tcW w:type="dxa" w:w="6750"/>
            <w:shd w:fill="FFFFFF" w:val="clear"/>
            <w:tcMar>
              <w:top w:type="dxa" w:w="100"/>
              <w:left w:type="dxa" w:w="150"/>
              <w:bottom w:type="dxa" w:w="100"/>
              <w:right w:type="dxa" w:w="150"/>
            </w:tcMar>
          </w:tcPr>
          <w:p>
            <w:r>
              <w:rPr>
                <w:b w:val="false"/>
                <w:bCs w:val="false"/>
                <w:color w:val="1A1A1A"/>
                <w:sz w:val="20"/>
                <w:szCs w:val="20"/>
              </w:rPr>
              <w:t xml:space="preserve">9001</w:t>
            </w:r>
          </w:p>
        </w:tc>
      </w:tr>
      <w:tr>
        <w:tc>
          <w:tcPr>
            <w:tcW w:type="dxa" w:w="2600"/>
            <w:shd w:fill="F2F2F2" w:val="clear"/>
            <w:tcMar>
              <w:top w:type="dxa" w:w="100"/>
              <w:left w:type="dxa" w:w="150"/>
              <w:bottom w:type="dxa" w:w="100"/>
              <w:right w:type="dxa" w:w="150"/>
            </w:tcMar>
          </w:tcPr>
          <w:p>
            <w:r>
              <w:rPr>
                <w:b/>
                <w:bCs/>
                <w:color w:val="09254C"/>
                <w:sz w:val="20"/>
                <w:szCs w:val="20"/>
              </w:rPr>
              <w:t xml:space="preserve">Plugin.Cortex_authkey</w:t>
            </w:r>
          </w:p>
        </w:tc>
        <w:tc>
          <w:tcPr>
            <w:tcW w:type="dxa" w:w="6750"/>
            <w:shd w:fill="FFFFFF" w:val="clear"/>
            <w:tcMar>
              <w:top w:type="dxa" w:w="100"/>
              <w:left w:type="dxa" w:w="150"/>
              <w:bottom w:type="dxa" w:w="100"/>
              <w:right w:type="dxa" w:w="150"/>
            </w:tcMar>
          </w:tcPr>
          <w:p>
            <w:r>
              <w:rPr>
                <w:b w:val="false"/>
                <w:bCs w:val="false"/>
                <w:color w:val="1A1A1A"/>
                <w:sz w:val="20"/>
                <w:szCs w:val="20"/>
              </w:rPr>
              <w:t xml:space="preserve">renseignée (clé API Cortex)</w:t>
            </w:r>
          </w:p>
        </w:tc>
      </w:tr>
      <w:tr>
        <w:tc>
          <w:tcPr>
            <w:tcW w:type="dxa" w:w="2600"/>
            <w:shd w:fill="F2F2F2" w:val="clear"/>
            <w:tcMar>
              <w:top w:type="dxa" w:w="100"/>
              <w:left w:type="dxa" w:w="150"/>
              <w:bottom w:type="dxa" w:w="100"/>
              <w:right w:type="dxa" w:w="150"/>
            </w:tcMar>
          </w:tcPr>
          <w:p>
            <w:r>
              <w:rPr>
                <w:b/>
                <w:bCs/>
                <w:color w:val="09254C"/>
                <w:sz w:val="20"/>
                <w:szCs w:val="20"/>
              </w:rPr>
              <w:t xml:space="preserve">Plugin.Cortex_ssl_verify_peer</w:t>
            </w:r>
          </w:p>
        </w:tc>
        <w:tc>
          <w:tcPr>
            <w:tcW w:type="dxa" w:w="6750"/>
            <w:shd w:fill="FFFFFF" w:val="clear"/>
            <w:tcMar>
              <w:top w:type="dxa" w:w="100"/>
              <w:left w:type="dxa" w:w="150"/>
              <w:bottom w:type="dxa" w:w="100"/>
              <w:right w:type="dxa" w:w="150"/>
            </w:tcMar>
          </w:tcPr>
          <w:p>
            <w:r>
              <w:rPr>
                <w:b w:val="false"/>
                <w:bCs w:val="false"/>
                <w:color w:val="1A1A1A"/>
                <w:sz w:val="20"/>
                <w:szCs w:val="20"/>
              </w:rPr>
              <w:t xml:space="preserve">false</w:t>
            </w:r>
          </w:p>
        </w:tc>
      </w:tr>
    </w:tbl>
    <w:p>
      <w:pPr>
        <w:spacing w:after="160" w:line="300"/>
      </w:pPr>
      <w:r>
        <w:rPr>
          <w:color w:val="1A1A1A"/>
          <w:sz w:val="22"/>
          <w:szCs w:val="22"/>
        </w:rPr>
        <w:t xml:space="preserve">Avec cette configuration, on peut lancer une analyse Cortex directement depuis n'importe quel attribut MISP et récupérer le résultat dans l'événement.</w:t>
      </w:r>
    </w:p>
    <w:p>
      <w:pPr>
        <w:pStyle w:val="Heading1"/>
        <w:pBdr>
          <w:bottom w:val="single" w:color="007751" w:sz="8" w:space="4"/>
        </w:pBdr>
        <w:spacing w:after="200" w:before="360"/>
      </w:pPr>
      <w:r>
        <w:rPr>
          <w:b/>
          <w:bCs/>
          <w:color w:val="09254C"/>
          <w:sz w:val="30"/>
          <w:szCs w:val="30"/>
        </w:rPr>
        <w:t xml:space="preserve">6. Intégration MISP et Wazuh (pas encore faite)</w:t>
      </w:r>
    </w:p>
    <w:p>
      <w:pPr>
        <w:spacing w:after="160" w:line="300"/>
      </w:pPr>
      <w:r>
        <w:rPr>
          <w:color w:val="1A1A1A"/>
          <w:sz w:val="22"/>
          <w:szCs w:val="22"/>
        </w:rPr>
        <w:t xml:space="preserve">Cette partie dépend de l'installation de Wazuh, qui est gérée par un autre membre de l'équipe. Les informations nécessaires pour configurer le module MISP côté Wazuh sont déjà prêtes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09254C" w:val="clear"/>
            <w:tcMar>
              <w:top w:type="dxa" w:w="100"/>
              <w:left w:type="dxa" w:w="150"/>
              <w:bottom w:type="dxa" w:w="100"/>
              <w:right w:type="dxa" w:w="150"/>
            </w:tcMar>
          </w:tcPr>
          <w:p>
            <w:r>
              <w:rPr>
                <w:b/>
                <w:bCs/>
                <w:color w:val="FFFFFF"/>
                <w:sz w:val="20"/>
                <w:szCs w:val="20"/>
              </w:rPr>
              <w:t xml:space="preserve">URL MISP</w:t>
            </w:r>
          </w:p>
        </w:tc>
        <w:tc>
          <w:tcPr>
            <w:tcW w:type="dxa" w:w="6750"/>
            <w:shd w:fill="09254C" w:val="clear"/>
            <w:tcMar>
              <w:top w:type="dxa" w:w="100"/>
              <w:left w:type="dxa" w:w="150"/>
              <w:bottom w:type="dxa" w:w="100"/>
              <w:right w:type="dxa" w:w="150"/>
            </w:tcMar>
          </w:tcPr>
          <w:p>
            <w:r>
              <w:rPr>
                <w:b/>
                <w:bCs/>
                <w:color w:val="FFFFFF"/>
                <w:sz w:val="20"/>
                <w:szCs w:val="20"/>
              </w:rPr>
              <w:t xml:space="preserve">https://192.168.1.207</w:t>
            </w:r>
          </w:p>
        </w:tc>
      </w:tr>
      <w:tr>
        <w:tc>
          <w:tcPr>
            <w:tcW w:type="dxa" w:w="2600"/>
            <w:shd w:fill="F2F2F2" w:val="clear"/>
            <w:tcMar>
              <w:top w:type="dxa" w:w="100"/>
              <w:left w:type="dxa" w:w="150"/>
              <w:bottom w:type="dxa" w:w="100"/>
              <w:right w:type="dxa" w:w="150"/>
            </w:tcMar>
          </w:tcPr>
          <w:p>
            <w:r>
              <w:rPr>
                <w:b/>
                <w:bCs/>
                <w:color w:val="09254C"/>
                <w:sz w:val="20"/>
                <w:szCs w:val="20"/>
              </w:rPr>
              <w:t xml:space="preserve">Clé API MISP</w:t>
            </w:r>
          </w:p>
        </w:tc>
        <w:tc>
          <w:tcPr>
            <w:tcW w:type="dxa" w:w="6750"/>
            <w:shd w:fill="FFFFFF" w:val="clear"/>
            <w:tcMar>
              <w:top w:type="dxa" w:w="100"/>
              <w:left w:type="dxa" w:w="150"/>
              <w:bottom w:type="dxa" w:w="100"/>
              <w:right w:type="dxa" w:w="150"/>
            </w:tcMar>
          </w:tcPr>
          <w:p>
            <w:r>
              <w:rPr>
                <w:b w:val="false"/>
                <w:bCs w:val="false"/>
                <w:color w:val="1A1A1A"/>
                <w:sz w:val="20"/>
                <w:szCs w:val="20"/>
              </w:rPr>
              <w:t xml:space="preserve">générée et disponible (Administration, List Auth Keys)</w:t>
            </w:r>
          </w:p>
        </w:tc>
      </w:tr>
      <w:tr>
        <w:tc>
          <w:tcPr>
            <w:tcW w:type="dxa" w:w="2600"/>
            <w:shd w:fill="F2F2F2" w:val="clear"/>
            <w:tcMar>
              <w:top w:type="dxa" w:w="100"/>
              <w:left w:type="dxa" w:w="150"/>
              <w:bottom w:type="dxa" w:w="100"/>
              <w:right w:type="dxa" w:w="150"/>
            </w:tcMar>
          </w:tcPr>
          <w:p>
            <w:r>
              <w:rPr>
                <w:b/>
                <w:bCs/>
                <w:color w:val="09254C"/>
                <w:sz w:val="20"/>
                <w:szCs w:val="20"/>
              </w:rPr>
              <w:t xml:space="preserve">Vérification SSL</w:t>
            </w:r>
          </w:p>
        </w:tc>
        <w:tc>
          <w:tcPr>
            <w:tcW w:type="dxa" w:w="6750"/>
            <w:shd w:fill="FFFFFF" w:val="clear"/>
            <w:tcMar>
              <w:top w:type="dxa" w:w="100"/>
              <w:left w:type="dxa" w:w="150"/>
              <w:bottom w:type="dxa" w:w="100"/>
              <w:right w:type="dxa" w:w="150"/>
            </w:tcMar>
          </w:tcPr>
          <w:p>
            <w:r>
              <w:rPr>
                <w:b w:val="false"/>
                <w:bCs w:val="false"/>
                <w:color w:val="1A1A1A"/>
                <w:sz w:val="20"/>
                <w:szCs w:val="20"/>
              </w:rPr>
              <w:t xml:space="preserve">à désactiver (certificat auto-signé)</w:t>
            </w:r>
          </w:p>
        </w:tc>
      </w:tr>
    </w:tbl>
    <w:p>
      <w:pPr>
        <w:spacing w:after="160" w:line="300"/>
      </w:pPr>
      <w:r>
        <w:rPr>
          <w:color w:val="1A1A1A"/>
          <w:sz w:val="22"/>
          <w:szCs w:val="22"/>
        </w:rPr>
        <w:t xml:space="preserve">Une fois Wazuh en place, il suffira de configurer le module misp dans le fichier ossec.conf du serveur Wazuh avec ces paramètres, pour que les alertes Wazuh puissent être corrélées avec les indicateurs de MISP.</w:t>
      </w:r>
    </w:p>
    <w:p>
      <w:pPr>
        <w:pStyle w:val="Heading1"/>
        <w:pBdr>
          <w:bottom w:val="single" w:color="007751" w:sz="8" w:space="4"/>
        </w:pBdr>
        <w:spacing w:after="200" w:before="360"/>
      </w:pPr>
      <w:r>
        <w:rPr>
          <w:b/>
          <w:bCs/>
          <w:color w:val="09254C"/>
          <w:sz w:val="30"/>
          <w:szCs w:val="30"/>
        </w:rPr>
        <w:t xml:space="preserve">7. État d'avancement</w:t>
      </w:r>
    </w:p>
    <w:p>
      <w:pPr>
        <w:pStyle w:val="Heading3"/>
        <w:spacing w:after="100" w:before="200"/>
      </w:pPr>
      <w:r>
        <w:rPr>
          <w:b/>
          <w:bCs/>
          <w:color w:val="007751"/>
          <w:sz w:val="22"/>
          <w:szCs w:val="22"/>
        </w:rPr>
        <w:t xml:space="preserve">Fait</w:t>
      </w:r>
    </w:p>
    <w:p>
      <w:pPr>
        <w:spacing w:after="80"/>
      </w:pPr>
      <w:r>
        <w:rPr>
          <w:b/>
          <w:bCs/>
          <w:color w:val="007751"/>
          <w:sz w:val="22"/>
          <w:szCs w:val="22"/>
        </w:rPr>
        <w:t xml:space="preserve">✔  </w:t>
      </w:r>
      <w:r>
        <w:rPr>
          <w:sz w:val="22"/>
          <w:szCs w:val="22"/>
        </w:rPr>
        <w:t xml:space="preserve">Installation et configuration de Docker</w:t>
      </w:r>
    </w:p>
    <w:p>
      <w:pPr>
        <w:spacing w:after="80"/>
      </w:pPr>
      <w:r>
        <w:rPr>
          <w:b/>
          <w:bCs/>
          <w:color w:val="007751"/>
          <w:sz w:val="22"/>
          <w:szCs w:val="22"/>
        </w:rPr>
        <w:t xml:space="preserve">✔  </w:t>
      </w:r>
      <w:r>
        <w:rPr>
          <w:sz w:val="22"/>
          <w:szCs w:val="22"/>
        </w:rPr>
        <w:t xml:space="preserve">Déploiement de MISP et résolution des problèmes d'accès réseau</w:t>
      </w:r>
    </w:p>
    <w:p>
      <w:pPr>
        <w:spacing w:after="80"/>
      </w:pPr>
      <w:r>
        <w:rPr>
          <w:b/>
          <w:bCs/>
          <w:color w:val="007751"/>
          <w:sz w:val="22"/>
          <w:szCs w:val="22"/>
        </w:rPr>
        <w:t xml:space="preserve">✔  </w:t>
      </w:r>
      <w:r>
        <w:rPr>
          <w:sz w:val="22"/>
          <w:szCs w:val="22"/>
        </w:rPr>
        <w:t xml:space="preserve">Configuration de la base de données, des feeds et de la clé API MISP</w:t>
      </w:r>
    </w:p>
    <w:p>
      <w:pPr>
        <w:spacing w:after="80"/>
      </w:pPr>
      <w:r>
        <w:rPr>
          <w:b/>
          <w:bCs/>
          <w:color w:val="007751"/>
          <w:sz w:val="22"/>
          <w:szCs w:val="22"/>
        </w:rPr>
        <w:t xml:space="preserve">✔  </w:t>
      </w:r>
      <w:r>
        <w:rPr>
          <w:sz w:val="22"/>
          <w:szCs w:val="22"/>
        </w:rPr>
        <w:t xml:space="preserve">Déploiement de Cortex avec Elasticsearch</w:t>
      </w:r>
    </w:p>
    <w:p>
      <w:pPr>
        <w:spacing w:after="80"/>
      </w:pPr>
      <w:r>
        <w:rPr>
          <w:b/>
          <w:bCs/>
          <w:color w:val="007751"/>
          <w:sz w:val="22"/>
          <w:szCs w:val="22"/>
        </w:rPr>
        <w:t xml:space="preserve">✔  </w:t>
      </w:r>
      <w:r>
        <w:rPr>
          <w:sz w:val="22"/>
          <w:szCs w:val="22"/>
        </w:rPr>
        <w:t xml:space="preserve">Ajout des 275 Cortex-Analyzers et de leurs dépendances Python</w:t>
      </w:r>
    </w:p>
    <w:p>
      <w:pPr>
        <w:spacing w:after="80"/>
      </w:pPr>
      <w:r>
        <w:rPr>
          <w:b/>
          <w:bCs/>
          <w:color w:val="007751"/>
          <w:sz w:val="22"/>
          <w:szCs w:val="22"/>
        </w:rPr>
        <w:t xml:space="preserve">✔  </w:t>
      </w:r>
      <w:r>
        <w:rPr>
          <w:sz w:val="22"/>
          <w:szCs w:val="22"/>
        </w:rPr>
        <w:t xml:space="preserve">Activation et test des analyzers VirusTotal, AbuseIPDB et Shodan</w:t>
      </w:r>
    </w:p>
    <w:p>
      <w:pPr>
        <w:spacing w:after="80"/>
      </w:pPr>
      <w:r>
        <w:rPr>
          <w:b/>
          <w:bCs/>
          <w:color w:val="007751"/>
          <w:sz w:val="22"/>
          <w:szCs w:val="22"/>
        </w:rPr>
        <w:t xml:space="preserve">✔  </w:t>
      </w:r>
      <w:r>
        <w:rPr>
          <w:sz w:val="22"/>
          <w:szCs w:val="22"/>
        </w:rPr>
        <w:t xml:space="preserve">Intégration technique entre Cortex et MISP</w:t>
      </w:r>
    </w:p>
    <w:p>
      <w:pPr>
        <w:spacing w:after="80"/>
      </w:pPr>
      <w:r>
        <w:rPr>
          <w:b/>
          <w:bCs/>
          <w:color w:val="007751"/>
          <w:sz w:val="22"/>
          <w:szCs w:val="22"/>
        </w:rPr>
        <w:t xml:space="preserve">✔  </w:t>
      </w:r>
      <w:r>
        <w:rPr>
          <w:sz w:val="22"/>
          <w:szCs w:val="22"/>
        </w:rPr>
        <w:t xml:space="preserve">Création et publication d'un événement de test</w:t>
      </w:r>
    </w:p>
    <w:p>
      <w:pPr>
        <w:pStyle w:val="Heading3"/>
        <w:spacing w:after="100" w:before="200"/>
      </w:pPr>
      <w:r>
        <w:rPr>
          <w:b/>
          <w:bCs/>
          <w:color w:val="007751"/>
          <w:sz w:val="22"/>
          <w:szCs w:val="22"/>
        </w:rPr>
        <w:t xml:space="preserve">Pas encore fait</w:t>
      </w:r>
    </w:p>
    <w:p>
      <w:pPr>
        <w:spacing w:after="80"/>
      </w:pPr>
      <w:r>
        <w:rPr>
          <w:b/>
          <w:bCs/>
          <w:color w:val="5A5A5A"/>
          <w:sz w:val="22"/>
          <w:szCs w:val="22"/>
        </w:rPr>
        <w:t xml:space="preserve">◻  </w:t>
      </w:r>
      <w:r>
        <w:rPr>
          <w:sz w:val="22"/>
          <w:szCs w:val="22"/>
        </w:rPr>
        <w:t xml:space="preserve">Intégration MISP et Wazuh, en attente de l'installation de Wazuh par l'équipe</w:t>
      </w:r>
    </w:p>
    <w:p>
      <w:pPr>
        <w:spacing w:after="80"/>
      </w:pPr>
      <w:r>
        <w:rPr>
          <w:b/>
          <w:bCs/>
          <w:color w:val="5A5A5A"/>
          <w:sz w:val="22"/>
          <w:szCs w:val="22"/>
        </w:rPr>
        <w:t xml:space="preserve">◻  </w:t>
      </w:r>
      <w:r>
        <w:rPr>
          <w:sz w:val="22"/>
          <w:szCs w:val="22"/>
        </w:rPr>
        <w:t xml:space="preserve">Tests d'analyses automatiques de bout en bout</w:t>
      </w:r>
    </w:p>
    <w:p>
      <w:pPr>
        <w:spacing w:before="500"/>
      </w:pPr>
      <w:r>
        <w:rPr>
          <w:i/>
          <w:iCs/>
          <w:color w:val="5A5A5A"/>
          <w:sz w:val="18"/>
          <w:szCs w:val="18"/>
        </w:rPr>
        <w:t xml:space="preserve">Mohamed Nafti, Securinets FST Summer Camp, juillet 2026.</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2026-07-25T09:52:34.481Z</dcterms:created>
  <dcterms:modified xsi:type="dcterms:W3CDTF">2026-07-25T09:52:34.482Z</dcterms:modified>
</cp:coreProperties>
</file>

<file path=docProps/custom.xml><?xml version="1.0" encoding="utf-8"?>
<Properties xmlns="http://schemas.openxmlformats.org/officeDocument/2006/custom-properties" xmlns:vt="http://schemas.openxmlformats.org/officeDocument/2006/docPropsVTypes"/>
</file>