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8604" w14:textId="77777777" w:rsidR="00087DD2" w:rsidRDefault="00087DD2">
      <w:pPr>
        <w:pStyle w:val="Heading3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AA00"/>
          <w:sz w:val="24"/>
          <w:szCs w:val="24"/>
          <w:rtl/>
        </w:rPr>
        <w:t>أعمال شعبان الخاصة</w:t>
      </w:r>
    </w:p>
    <w:p w14:paraId="5DC53DFD" w14:textId="77777777" w:rsidR="00087DD2" w:rsidRDefault="00087DD2">
      <w:pPr>
        <w:pStyle w:val="Heading4"/>
        <w:shd w:val="clear" w:color="auto" w:fill="FFFFFF"/>
        <w:spacing w:before="0" w:after="0"/>
        <w:textAlignment w:val="baseline"/>
        <w:rPr>
          <w:rFonts w:ascii="Arial" w:eastAsia="Times New Roman" w:hAnsi="Arial" w:cs="Arial"/>
          <w:color w:val="00AA00"/>
          <w:sz w:val="19"/>
          <w:szCs w:val="19"/>
        </w:rPr>
      </w:pPr>
      <w:r>
        <w:rPr>
          <w:rFonts w:ascii="Arial" w:eastAsia="Times New Roman" w:hAnsi="Arial" w:cs="Arial"/>
          <w:color w:val="00AA00"/>
          <w:sz w:val="19"/>
          <w:szCs w:val="19"/>
          <w:rtl/>
        </w:rPr>
        <w:t>الليلة الأولى</w:t>
      </w:r>
    </w:p>
    <w:p w14:paraId="72E7FA62" w14:textId="77777777" w:rsidR="00087DD2" w:rsidRDefault="00087DD2">
      <w:pPr>
        <w:pStyle w:val="NormalWeb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قد وردت فيها صلوات كثيرة مذكورة في (الاقبال) ومن تلك الصلوات: اثنتا عشرة ركعة يقرأ في كلّ ركعة الحمد مرّة والتوحيد احدى عشرة مرّة.</w:t>
      </w:r>
    </w:p>
    <w:p w14:paraId="338AD45D" w14:textId="77777777" w:rsidR="00087DD2" w:rsidRDefault="00087DD2"/>
    <w:sectPr w:rsidR="00087DD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DD2"/>
    <w:rsid w:val="00087DD2"/>
    <w:rsid w:val="00CA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FC60146"/>
  <w15:chartTrackingRefBased/>
  <w15:docId w15:val="{B81B1B45-2737-8947-AF0C-FC7A3633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D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7DD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2026-03-27T08:39:00Z</dcterms:created>
  <dcterms:modified xsi:type="dcterms:W3CDTF">2026-03-27T08:39:00Z</dcterms:modified>
</cp:coreProperties>
</file>