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AD7E" w14:textId="77777777" w:rsidR="004265D6" w:rsidRDefault="004265D6">
      <w:pPr>
        <w:pStyle w:val="Heading4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color w:val="00AA00"/>
          <w:sz w:val="19"/>
          <w:szCs w:val="19"/>
          <w:rtl/>
        </w:rPr>
        <w:t>يوم النصف من شعبان</w:t>
      </w:r>
    </w:p>
    <w:p w14:paraId="11567CA3" w14:textId="77777777" w:rsidR="004265D6" w:rsidRDefault="004265D6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وهو عيد الميلاد، وقد ولد فيه الإمام الثاني عشر إمامنا المهدي الحجّة بن الحسن صاحب الزمان </w:t>
      </w:r>
      <w:r>
        <w:rPr>
          <w:rStyle w:val="fm"/>
          <w:rFonts w:ascii="Arial" w:hAnsi="Arial" w:cs="Arial"/>
          <w:color w:val="008000"/>
          <w:rtl/>
        </w:rPr>
        <w:t>(صلوات الله عليه وعلى آبائه)</w:t>
      </w:r>
      <w:r>
        <w:rPr>
          <w:rFonts w:ascii="Arial" w:hAnsi="Arial" w:cs="Arial"/>
          <w:color w:val="800000"/>
          <w:sz w:val="29"/>
          <w:szCs w:val="29"/>
          <w:rtl/>
        </w:rPr>
        <w:t> ، ويستحب زيارته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في كلّ زمان ومكان والدعاء بتعجيل الفرج عند زيارته، وتتأكد زيارته في السرداب بسرّ من رأى، وهو المتيقّن ظهوره وتملّكه، وأنّه يملأ الأرض قسطاً وعدلاً كما ملئت ظلماً وجوراً.</w:t>
      </w:r>
    </w:p>
    <w:p w14:paraId="13F39021" w14:textId="77777777" w:rsidR="004265D6" w:rsidRDefault="004265D6"/>
    <w:sectPr w:rsidR="004265D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D6"/>
    <w:rsid w:val="004265D6"/>
    <w:rsid w:val="00CA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358E8B"/>
  <w15:chartTrackingRefBased/>
  <w15:docId w15:val="{71293E1F-AFA2-B847-B84E-C2840B2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5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m">
    <w:name w:val="fm"/>
    <w:basedOn w:val="DefaultParagraphFont"/>
    <w:rsid w:val="004265D6"/>
  </w:style>
  <w:style w:type="character" w:customStyle="1" w:styleId="fm1">
    <w:name w:val="fm1"/>
    <w:basedOn w:val="DefaultParagraphFont"/>
    <w:rsid w:val="0042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2026-03-27T08:42:00Z</dcterms:created>
  <dcterms:modified xsi:type="dcterms:W3CDTF">2026-03-27T08:42:00Z</dcterms:modified>
</cp:coreProperties>
</file>