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r>
        <w:rPr>
          <w:vertAlign w:val="superscript"/>
        </w:rPr>
        <w:t xml:space="preserve">1*</w:t>
      </w:r>
      <w:r>
        <w:t xml:space="preserve"> and Khairum Jahan Roza</w:t>
      </w:r>
      <w:r>
        <w:rPr>
          <w:vertAlign w:val="superscript"/>
        </w:rPr>
        <w:t xml:space="preserve">2</w:t>
      </w:r>
    </w:p>
    <w:p>
      <w:pPr>
        <w:spacing w:after="160" w:line="360"/>
        <w:jc w:val="both"/>
      </w:pPr>
      <w:r>
        <w:rPr>
          <w:vertAlign w:val="superscript"/>
        </w:rPr>
        <w:t xml:space="preserve">1</w:t>
      </w:r>
      <w:r>
        <w:t xml:space="preserve">Department of Computer Science and Engineering, Daffodil International University, Daffodil Smart City, Birulia, Savar, Dhaka 1216, Bangladesh</w:t>
      </w:r>
    </w:p>
    <w:p>
      <w:pPr>
        <w:spacing w:after="160" w:line="360"/>
        <w:jc w:val="both"/>
      </w:pPr>
      <w:r>
        <w:rPr>
          <w:vertAlign w:val="superscript"/>
        </w:rPr>
        <w:t xml:space="preserve">2</w:t>
      </w:r>
      <w:r>
        <w:t xml:space="preserve">Kumudini Women's Medical College and Hospital, Mirzapur, Tangail, Bangladesh</w:t>
      </w:r>
    </w:p>
    <w:p>
      <w:pPr>
        <w:spacing w:after="160" w:line="360"/>
        <w:jc w:val="both"/>
      </w:pPr>
      <w:r>
        <w:rPr>
          <w:vertAlign w:val="superscript"/>
        </w:rPr>
        <w:t xml:space="preserve">*</w:t>
      </w:r>
      <w:r>
        <w:rPr>
          <w:b/>
          <w:bCs/>
        </w:rPr>
        <w:t xml:space="preserve">Correspondence:</w:t>
      </w:r>
      <w:r>
        <w:t xml:space="preserve"> rabeyanoor.dev@gmail.com</w:t>
      </w:r>
    </w:p>
    <w:p>
      <w:pPr>
        <w:spacing w:after="160" w:line="360"/>
        <w:jc w:val="both"/>
      </w:pPr>
      <w:r>
        <w:rPr>
          <w:b/>
          <w:bCs/>
        </w:rPr>
        <w:t xml:space="preserve">Email addresses:</w:t>
      </w:r>
      <w:r>
        <w:t xml:space="preserve"> RN, rabeyanoor.dev@gmail.com; KJR, kj.roza.dr@gmail.com</w:t>
      </w:r>
    </w:p>
    <w:p>
      <w:pPr>
        <w:spacing w:after="160" w:line="360"/>
        <w:jc w:val="both"/>
      </w:pPr>
      <w:r>
        <w:rPr>
          <w:b/>
          <w:bCs/>
        </w:rPr>
        <w:t xml:space="preserve">ORCID iD:</w:t>
      </w:r>
      <w:r>
        <w:t xml:space="preserve"> 0009-0007-2839-0900 (KJR)</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one daughter of a dividing cell is sequenced before treatment and the other is treated. However, a cell whose sister survives may simply grow well. How much of the predictable signal reflects drug tolerance rather than growth fitness is unknown.</w:t>
      </w:r>
    </w:p>
    <w:p>
      <w:pPr>
        <w:spacing w:after="160" w:line="360"/>
        <w:jc w:val="both"/>
      </w:pPr>
      <w:r>
        <w:rPr>
          <w:b/>
          <w:bCs/>
        </w:rPr>
        <w:t xml:space="preserve">Results.</w:t>
      </w:r>
      <w:r>
        <w:t xml:space="preserve"> In the ReSisTrace experiment, which includes an identically processed untreated arm, we compared each drug-arm predictor with a fitness model trained on untreated cells at equal training size. In 32,642 pre-treatment ovarian cancer cells, a linear model predicted the sister's fate with AUROC 0.72–0.75, far above published methods (0.50–0.60); a graph neural network and two single-cell foundation models did no better. The fitness model, which never saw a drug, reached 0.70–0.73. The drug-specific gain was about 0.02 AUROC: positive in every arm, not reliably separable from zero, and at most about 0.05. The shared signal marked a proliferative, low-stress state, and a label-free score recovered much of it. In a second lineage system with six treatments, pre-treatment clone size outpredicted gene expression under every treatment, and in 11 patients the fitness state was depleted, not enriched, after chemotherapy.</w:t>
      </w:r>
    </w:p>
    <w:p>
      <w:pPr>
        <w:spacing w:after="160" w:line="360"/>
        <w:jc w:val="both"/>
      </w:pPr>
      <w:r>
        <w:rPr>
          <w:b/>
          <w:bCs/>
        </w:rPr>
        <w:t xml:space="preserve">Conclusions.</w:t>
      </w:r>
      <w:r>
        <w:t xml:space="preserve"> Most of what a pre-treatment transcriptome predicts about a cancer cell's fate is growth fitness, not drug tolerance. Such claims should be tested against an untreated arm processed in the same way; our open-source package </w:t>
      </w:r>
      <w:r>
        <w:rPr>
          <w:rFonts w:ascii="Consolas" w:cs="Consolas" w:eastAsia="Consolas" w:hAnsi="Consolas"/>
        </w:rPr>
        <w:t xml:space="preserve">persist.fitadj</w:t>
      </w:r>
      <w:r>
        <w:t xml:space="preserve"> does this for any lineage-tracing design.</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fourfold. First, we separate drug-specific tolerance from general growth fitness by comparing each predictor with a model trained on the untreated arm, at equal training size, and split what remains into a part shared with other treatments and a part unique to the drug. Second, we bound the best performance achievable given that sisters are not identical, and check both estimators on synthetic data where the true answer is known. Third, we re-score the pathway and HRD findings of the original study against its untreated arm. Fourth,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pacing w:before="240"/>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in the drug arms,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 Table 1 lists every model and representation used in this study, what each one takes as input, and how well it did.</w:t>
      </w:r>
    </w:p>
    <w:p>
      <w:pPr>
        <w:spacing w:after="160" w:line="360"/>
        <w:jc w:val="both"/>
      </w:pPr>
      <w:r>
        <w:rPr>
          <w:b/>
          <w:bCs/>
        </w:rPr>
        <w:t xml:space="preserve">Table 1</w:t>
      </w:r>
      <w:r>
        <w:t xml:space="preserve"> </w:t>
      </w:r>
      <w:r>
        <w:rPr>
          <w:b/>
          <w:bCs/>
        </w:rPr>
        <w:t xml:space="preserve">Models and representations used in this study.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p>
            <w:pPr>
              <w:spacing w:after="40"/>
            </w:pPr>
            <w:r>
              <w:rPr>
                <w:b/>
                <w:bCs/>
                <w:sz w:val="18"/>
                <w:szCs w:val="18"/>
              </w:rPr>
              <w:t xml:space="preserve">Model</w:t>
            </w:r>
          </w:p>
        </w:tc>
        <w:tc>
          <w:p>
            <w:pPr>
              <w:spacing w:after="40"/>
            </w:pPr>
            <w:r>
              <w:rPr>
                <w:b/>
                <w:bCs/>
                <w:sz w:val="18"/>
                <w:szCs w:val="18"/>
              </w:rPr>
              <w:t xml:space="preserve">What it is</w:t>
            </w:r>
          </w:p>
        </w:tc>
        <w:tc>
          <w:p>
            <w:pPr>
              <w:spacing w:after="40"/>
            </w:pPr>
            <w:r>
              <w:rPr>
                <w:b/>
                <w:bCs/>
                <w:sz w:val="18"/>
                <w:szCs w:val="18"/>
              </w:rPr>
              <w:t xml:space="preserve">Input</w:t>
            </w:r>
          </w:p>
        </w:tc>
        <w:tc>
          <w:p>
            <w:pPr>
              <w:spacing w:after="40"/>
            </w:pPr>
            <w:r>
              <w:rPr>
                <w:b/>
                <w:bCs/>
                <w:sz w:val="18"/>
                <w:szCs w:val="18"/>
              </w:rPr>
              <w:t xml:space="preserve">Result (AUROC unless stated)</w:t>
            </w:r>
          </w:p>
        </w:tc>
      </w:tr>
      <w:tr>
        <w:trPr>
          <w:tblHeader w:val="false"/>
        </w:trPr>
        <w:tc>
          <w:p>
            <w:pPr>
              <w:spacing w:after="40"/>
            </w:pPr>
            <w:r>
              <w:rPr>
                <w:b w:val="false"/>
                <w:bCs w:val="false"/>
                <w:sz w:val="18"/>
                <w:szCs w:val="18"/>
              </w:rPr>
              <w:t xml:space="preserve">Logistic regression (main model)</w:t>
            </w:r>
          </w:p>
        </w:tc>
        <w:tc>
          <w:p>
            <w:pPr>
              <w:spacing w:after="40"/>
            </w:pPr>
            <w:r>
              <w:rPr>
                <w:b w:val="false"/>
                <w:bCs w:val="false"/>
                <w:sz w:val="18"/>
                <w:szCs w:val="18"/>
              </w:rPr>
              <w:t xml:space="preserve">Linear classifier with balanced class weights</w:t>
            </w:r>
          </w:p>
        </w:tc>
        <w:tc>
          <w:p>
            <w:pPr>
              <w:spacing w:after="40"/>
            </w:pPr>
            <w:r>
              <w:rPr>
                <w:b w:val="false"/>
                <w:bCs w:val="false"/>
                <w:sz w:val="18"/>
                <w:szCs w:val="18"/>
              </w:rPr>
              <w:t xml:space="preserve">50 principal components of expression</w:t>
            </w:r>
          </w:p>
        </w:tc>
        <w:tc>
          <w:p>
            <w:pPr>
              <w:spacing w:after="40"/>
            </w:pPr>
            <w:r>
              <w:rPr>
                <w:b w:val="false"/>
                <w:bCs w:val="false"/>
                <w:sz w:val="18"/>
                <w:szCs w:val="18"/>
              </w:rPr>
              <w:t xml:space="preserve">0.708–0.747 within each arm</w:t>
            </w:r>
          </w:p>
        </w:tc>
      </w:tr>
      <w:tr>
        <w:trPr>
          <w:tblHeader w:val="false"/>
        </w:trPr>
        <w:tc>
          <w:p>
            <w:pPr>
              <w:spacing w:after="40"/>
            </w:pPr>
            <w:r>
              <w:rPr>
                <w:b w:val="false"/>
                <w:bCs w:val="false"/>
                <w:sz w:val="18"/>
                <w:szCs w:val="18"/>
              </w:rPr>
              <w:t xml:space="preserve">Tuned or pooled logistic regression</w:t>
            </w:r>
          </w:p>
        </w:tc>
        <w:tc>
          <w:p>
            <w:pPr>
              <w:spacing w:after="40"/>
            </w:pPr>
            <w:r>
              <w:rPr>
                <w:b w:val="false"/>
                <w:bCs w:val="false"/>
                <w:sz w:val="18"/>
                <w:szCs w:val="18"/>
              </w:rPr>
              <w:t xml:space="preserve">Main model with tuned settings, or with labelled cells from the other arms added</w:t>
            </w:r>
          </w:p>
        </w:tc>
        <w:tc>
          <w:p>
            <w:pPr>
              <w:spacing w:after="40"/>
            </w:pPr>
            <w:r>
              <w:rPr>
                <w:b w:val="false"/>
                <w:bCs w:val="false"/>
                <w:sz w:val="18"/>
                <w:szCs w:val="18"/>
              </w:rPr>
              <w:t xml:space="preserve">50 principal components</w:t>
            </w:r>
          </w:p>
        </w:tc>
        <w:tc>
          <w:p>
            <w:pPr>
              <w:spacing w:after="40"/>
            </w:pPr>
            <w:r>
              <w:rPr>
                <w:b w:val="false"/>
                <w:bCs w:val="false"/>
                <w:sz w:val="18"/>
                <w:szCs w:val="18"/>
              </w:rPr>
              <w:t xml:space="preserve">Changed AUROC by at most 0.002 (tuned) and 0.004 (pooled)</w:t>
            </w:r>
          </w:p>
        </w:tc>
      </w:tr>
      <w:tr>
        <w:trPr>
          <w:tblHeader w:val="false"/>
        </w:trPr>
        <w:tc>
          <w:p>
            <w:pPr>
              <w:spacing w:after="40"/>
            </w:pPr>
            <w:r>
              <w:rPr>
                <w:b w:val="false"/>
                <w:bCs w:val="false"/>
                <w:sz w:val="18"/>
                <w:szCs w:val="18"/>
              </w:rPr>
              <w:t xml:space="preserve">Logistic regression on genes</w:t>
            </w:r>
          </w:p>
        </w:tc>
        <w:tc>
          <w:p>
            <w:pPr>
              <w:spacing w:after="40"/>
            </w:pPr>
            <w:r>
              <w:rPr>
                <w:b w:val="false"/>
                <w:bCs w:val="false"/>
                <w:sz w:val="18"/>
                <w:szCs w:val="18"/>
              </w:rPr>
              <w:t xml:space="preserve">Main model applied to single genes</w:t>
            </w:r>
          </w:p>
        </w:tc>
        <w:tc>
          <w:p>
            <w:pPr>
              <w:spacing w:after="40"/>
            </w:pPr>
            <w:r>
              <w:rPr>
                <w:b w:val="false"/>
                <w:bCs w:val="false"/>
                <w:sz w:val="18"/>
                <w:szCs w:val="18"/>
              </w:rPr>
              <w:t xml:space="preserve">2000 highly variable genes</w:t>
            </w:r>
          </w:p>
        </w:tc>
        <w:tc>
          <w:p>
            <w:pPr>
              <w:spacing w:after="40"/>
            </w:pPr>
            <w:r>
              <w:rPr>
                <w:b w:val="false"/>
                <w:bCs w:val="false"/>
                <w:sz w:val="18"/>
                <w:szCs w:val="18"/>
              </w:rPr>
              <w:t xml:space="preserve">0.63–0.66</w:t>
            </w:r>
          </w:p>
        </w:tc>
      </w:tr>
      <w:tr>
        <w:trPr>
          <w:tblHeader w:val="false"/>
        </w:trPr>
        <w:tc>
          <w:p>
            <w:pPr>
              <w:spacing w:after="40"/>
            </w:pPr>
            <w:r>
              <w:rPr>
                <w:b w:val="false"/>
                <w:bCs w:val="false"/>
                <w:sz w:val="18"/>
                <w:szCs w:val="18"/>
              </w:rPr>
              <w:t xml:space="preserve">Technical-covariate model</w:t>
            </w:r>
          </w:p>
        </w:tc>
        <w:tc>
          <w:p>
            <w:pPr>
              <w:spacing w:after="40"/>
            </w:pPr>
            <w:r>
              <w:rPr>
                <w:b w:val="false"/>
                <w:bCs w:val="false"/>
                <w:sz w:val="18"/>
                <w:szCs w:val="18"/>
              </w:rPr>
              <w:t xml:space="preserve">Logistic regression on technical factors only</w:t>
            </w:r>
          </w:p>
        </w:tc>
        <w:tc>
          <w:p>
            <w:pPr>
              <w:spacing w:after="40"/>
            </w:pPr>
            <w:r>
              <w:rPr>
                <w:b w:val="false"/>
                <w:bCs w:val="false"/>
                <w:sz w:val="18"/>
                <w:szCs w:val="18"/>
              </w:rPr>
              <w:t xml:space="preserve">Sequencing depth, detected genes, mitochondrial fraction, cell-cycle scores</w:t>
            </w:r>
          </w:p>
        </w:tc>
        <w:tc>
          <w:p>
            <w:pPr>
              <w:spacing w:after="40"/>
            </w:pPr>
            <w:r>
              <w:rPr>
                <w:b w:val="false"/>
                <w:bCs w:val="false"/>
                <w:sz w:val="18"/>
                <w:szCs w:val="18"/>
              </w:rPr>
              <w:t xml:space="preserve">0.59–0.65</w:t>
            </w:r>
          </w:p>
        </w:tc>
      </w:tr>
      <w:tr>
        <w:trPr>
          <w:tblHeader w:val="false"/>
        </w:trPr>
        <w:tc>
          <w:p>
            <w:pPr>
              <w:spacing w:after="40"/>
            </w:pPr>
            <w:r>
              <w:rPr>
                <w:b w:val="false"/>
                <w:bCs w:val="false"/>
                <w:sz w:val="18"/>
                <w:szCs w:val="18"/>
              </w:rPr>
              <w:t xml:space="preserve">Gradient boosting (CatBoost)</w:t>
            </w:r>
          </w:p>
        </w:tc>
        <w:tc>
          <w:p>
            <w:pPr>
              <w:spacing w:after="40"/>
            </w:pPr>
            <w:r>
              <w:rPr>
                <w:b w:val="false"/>
                <w:bCs w:val="false"/>
                <w:sz w:val="18"/>
                <w:szCs w:val="18"/>
              </w:rPr>
              <w:t xml:space="preserve">Ensemble of decision trees</w:t>
            </w:r>
          </w:p>
        </w:tc>
        <w:tc>
          <w:p>
            <w:pPr>
              <w:spacing w:after="40"/>
            </w:pPr>
            <w:r>
              <w:rPr>
                <w:b w:val="false"/>
                <w:bCs w:val="false"/>
                <w:sz w:val="18"/>
                <w:szCs w:val="18"/>
              </w:rPr>
              <w:t xml:space="preserve">Principal components and technical covariates</w:t>
            </w:r>
          </w:p>
        </w:tc>
        <w:tc>
          <w:p>
            <w:pPr>
              <w:spacing w:after="40"/>
            </w:pPr>
            <w:r>
              <w:rPr>
                <w:b w:val="false"/>
                <w:bCs w:val="false"/>
                <w:sz w:val="18"/>
                <w:szCs w:val="18"/>
              </w:rPr>
              <w:t xml:space="preserve">0.70–0.73</w:t>
            </w:r>
          </w:p>
        </w:tc>
      </w:tr>
      <w:tr>
        <w:trPr>
          <w:tblHeader w:val="false"/>
        </w:trPr>
        <w:tc>
          <w:p>
            <w:pPr>
              <w:spacing w:after="40"/>
            </w:pPr>
            <w:r>
              <w:rPr>
                <w:b w:val="false"/>
                <w:bCs w:val="false"/>
                <w:sz w:val="18"/>
                <w:szCs w:val="18"/>
              </w:rPr>
              <w:t xml:space="preserve">Multilayer perceptron</w:t>
            </w:r>
          </w:p>
        </w:tc>
        <w:tc>
          <w:p>
            <w:pPr>
              <w:spacing w:after="40"/>
            </w:pPr>
            <w:r>
              <w:rPr>
                <w:b w:val="false"/>
                <w:bCs w:val="false"/>
                <w:sz w:val="18"/>
                <w:szCs w:val="18"/>
              </w:rPr>
              <w:t xml:space="preserve">Small neural network, with or without sister-pair pretraining</w:t>
            </w:r>
          </w:p>
        </w:tc>
        <w:tc>
          <w:p>
            <w:pPr>
              <w:spacing w:after="40"/>
            </w:pPr>
            <w:r>
              <w:rPr>
                <w:b w:val="false"/>
                <w:bCs w:val="false"/>
                <w:sz w:val="18"/>
                <w:szCs w:val="18"/>
              </w:rPr>
              <w:t xml:space="preserve">50 principal components</w:t>
            </w:r>
          </w:p>
        </w:tc>
        <w:tc>
          <w:p>
            <w:pPr>
              <w:spacing w:after="40"/>
            </w:pPr>
            <w:r>
              <w:rPr>
                <w:b w:val="false"/>
                <w:bCs w:val="false"/>
                <w:sz w:val="18"/>
                <w:szCs w:val="18"/>
              </w:rPr>
              <w:t xml:space="preserve">0.700–0.738 without and 0.708–0.742 with pretraining</w:t>
            </w:r>
          </w:p>
        </w:tc>
      </w:tr>
      <w:tr>
        <w:trPr>
          <w:tblHeader w:val="false"/>
        </w:trPr>
        <w:tc>
          <w:p>
            <w:pPr>
              <w:spacing w:after="40"/>
            </w:pPr>
            <w:r>
              <w:rPr>
                <w:b w:val="false"/>
                <w:bCs w:val="false"/>
                <w:sz w:val="18"/>
                <w:szCs w:val="18"/>
              </w:rPr>
              <w:t xml:space="preserve">Graph neural network</w:t>
            </w:r>
          </w:p>
        </w:tc>
        <w:tc>
          <w:p>
            <w:pPr>
              <w:spacing w:after="40"/>
            </w:pPr>
            <w:r>
              <w:rPr>
                <w:b w:val="false"/>
                <w:bCs w:val="false"/>
                <w:sz w:val="18"/>
                <w:szCs w:val="18"/>
              </w:rPr>
              <w:t xml:space="preserve">Neural network that also reads each cell's 15 nearest neighbours, pretrained so that sisters lie close together</w:t>
            </w:r>
          </w:p>
        </w:tc>
        <w:tc>
          <w:p>
            <w:pPr>
              <w:spacing w:after="40"/>
            </w:pPr>
            <w:r>
              <w:rPr>
                <w:b w:val="false"/>
                <w:bCs w:val="false"/>
                <w:sz w:val="18"/>
                <w:szCs w:val="18"/>
              </w:rPr>
              <w:t xml:space="preserve">50 principal components and a cell–cell graph</w:t>
            </w:r>
          </w:p>
        </w:tc>
        <w:tc>
          <w:p>
            <w:pPr>
              <w:spacing w:after="40"/>
            </w:pPr>
            <w:r>
              <w:rPr>
                <w:b w:val="false"/>
                <w:bCs w:val="false"/>
                <w:sz w:val="18"/>
                <w:szCs w:val="18"/>
              </w:rPr>
              <w:t xml:space="preserve">0.696–0.734</w:t>
            </w:r>
          </w:p>
        </w:tc>
      </w:tr>
      <w:tr>
        <w:trPr>
          <w:tblHeader w:val="false"/>
        </w:trPr>
        <w:tc>
          <w:p>
            <w:pPr>
              <w:spacing w:after="40"/>
            </w:pPr>
            <w:r>
              <w:rPr>
                <w:b w:val="false"/>
                <w:bCs w:val="false"/>
                <w:sz w:val="18"/>
                <w:szCs w:val="18"/>
              </w:rPr>
              <w:t xml:space="preserve">Geneformer V2-104M_CLcancer</w:t>
            </w:r>
          </w:p>
        </w:tc>
        <w:tc>
          <w:p>
            <w:pPr>
              <w:spacing w:after="40"/>
            </w:pPr>
            <w:r>
              <w:rPr>
                <w:b w:val="false"/>
                <w:bCs w:val="false"/>
                <w:sz w:val="18"/>
                <w:szCs w:val="18"/>
              </w:rPr>
              <w:t xml:space="preserve">Transformer with 104 million parameters, pretrained on 104 million human and about 14 million cancer transcriptomes; used without fine-tuning</w:t>
            </w:r>
          </w:p>
        </w:tc>
        <w:tc>
          <w:p>
            <w:pPr>
              <w:spacing w:after="40"/>
            </w:pPr>
            <w:r>
              <w:rPr>
                <w:b w:val="false"/>
                <w:bCs w:val="false"/>
                <w:sz w:val="18"/>
                <w:szCs w:val="18"/>
              </w:rPr>
              <w:t xml:space="preserve">Raw counts as a ranked list of genes, giving a 768-dimensional embedding</w:t>
            </w:r>
          </w:p>
        </w:tc>
        <w:tc>
          <w:p>
            <w:pPr>
              <w:spacing w:after="40"/>
            </w:pPr>
            <w:r>
              <w:rPr>
                <w:b w:val="false"/>
                <w:bCs w:val="false"/>
                <w:sz w:val="18"/>
                <w:szCs w:val="18"/>
              </w:rPr>
              <w:t xml:space="preserve">0.671–0.683 (drug arms)</w:t>
            </w:r>
          </w:p>
        </w:tc>
      </w:tr>
      <w:tr>
        <w:trPr>
          <w:tblHeader w:val="false"/>
        </w:trPr>
        <w:tc>
          <w:p>
            <w:pPr>
              <w:spacing w:after="40"/>
            </w:pPr>
            <w:r>
              <w:rPr>
                <w:b w:val="false"/>
                <w:bCs w:val="false"/>
                <w:sz w:val="18"/>
                <w:szCs w:val="18"/>
              </w:rPr>
              <w:t xml:space="preserve">scGPT (whole-human)</w:t>
            </w:r>
          </w:p>
        </w:tc>
        <w:tc>
          <w:p>
            <w:pPr>
              <w:spacing w:after="40"/>
            </w:pPr>
            <w:r>
              <w:rPr>
                <w:b w:val="false"/>
                <w:bCs w:val="false"/>
                <w:sz w:val="18"/>
                <w:szCs w:val="18"/>
              </w:rPr>
              <w:t xml:space="preserve">Transformer pretrained on 33 million human cells; used without fine-tuning</w:t>
            </w:r>
          </w:p>
        </w:tc>
        <w:tc>
          <w:p>
            <w:pPr>
              <w:spacing w:after="40"/>
            </w:pPr>
            <w:r>
              <w:rPr>
                <w:b w:val="false"/>
                <w:bCs w:val="false"/>
                <w:sz w:val="18"/>
                <w:szCs w:val="18"/>
              </w:rPr>
              <w:t xml:space="preserve">Raw counts of 5005 genes, giving a 512-dimensional embedding</w:t>
            </w:r>
          </w:p>
        </w:tc>
        <w:tc>
          <w:p>
            <w:pPr>
              <w:spacing w:after="40"/>
            </w:pPr>
            <w:r>
              <w:rPr>
                <w:b w:val="false"/>
                <w:bCs w:val="false"/>
                <w:sz w:val="18"/>
                <w:szCs w:val="18"/>
              </w:rPr>
              <w:t xml:space="preserve">0.673–0.693 (drug arms)</w:t>
            </w:r>
          </w:p>
        </w:tc>
      </w:tr>
      <w:tr>
        <w:trPr>
          <w:tblHeader w:val="false"/>
        </w:trPr>
        <w:tc>
          <w:p>
            <w:pPr>
              <w:spacing w:after="40"/>
            </w:pPr>
            <w:r>
              <w:rPr>
                <w:b w:val="false"/>
                <w:bCs w:val="false"/>
                <w:sz w:val="18"/>
                <w:szCs w:val="18"/>
              </w:rPr>
              <w:t xml:space="preserve">Harmony, Pearson residuals, scVI</w:t>
            </w:r>
          </w:p>
        </w:tc>
        <w:tc>
          <w:p>
            <w:pPr>
              <w:spacing w:after="40"/>
            </w:pPr>
            <w:r>
              <w:rPr>
                <w:b w:val="false"/>
                <w:bCs w:val="false"/>
                <w:sz w:val="18"/>
                <w:szCs w:val="18"/>
              </w:rPr>
              <w:t xml:space="preserve">Batch-corrected components, components of analytic Pearson residuals, and the latent space of a variational autoencoder</w:t>
            </w:r>
          </w:p>
        </w:tc>
        <w:tc>
          <w:p>
            <w:pPr>
              <w:spacing w:after="40"/>
            </w:pPr>
            <w:r>
              <w:rPr>
                <w:b w:val="false"/>
                <w:bCs w:val="false"/>
                <w:sz w:val="18"/>
                <w:szCs w:val="18"/>
              </w:rPr>
              <w:t xml:space="preserve">Expression of the same 2000 genes</w:t>
            </w:r>
          </w:p>
        </w:tc>
        <w:tc>
          <w:p>
            <w:pPr>
              <w:spacing w:after="40"/>
            </w:pPr>
            <w:r>
              <w:rPr>
                <w:b w:val="false"/>
                <w:bCs w:val="false"/>
                <w:sz w:val="18"/>
                <w:szCs w:val="18"/>
              </w:rPr>
              <w:t xml:space="preserve">Same conclusions as the main model (Table S17)</w:t>
            </w:r>
          </w:p>
        </w:tc>
      </w:tr>
      <w:tr>
        <w:trPr>
          <w:tblHeader w:val="false"/>
        </w:trPr>
        <w:tc>
          <w:p>
            <w:pPr>
              <w:spacing w:after="40"/>
            </w:pPr>
            <w:r>
              <w:rPr>
                <w:b w:val="false"/>
                <w:bCs w:val="false"/>
                <w:sz w:val="18"/>
                <w:szCs w:val="18"/>
              </w:rPr>
              <w:t xml:space="preserve">Fitness model</w:t>
            </w:r>
          </w:p>
        </w:tc>
        <w:tc>
          <w:p>
            <w:pPr>
              <w:spacing w:after="40"/>
            </w:pPr>
            <w:r>
              <w:rPr>
                <w:b w:val="false"/>
                <w:bCs w:val="false"/>
                <w:sz w:val="18"/>
                <w:szCs w:val="18"/>
              </w:rPr>
              <w:t xml:space="preserve">Main model trained on the untreated control arm</w:t>
            </w:r>
          </w:p>
        </w:tc>
        <w:tc>
          <w:p>
            <w:pPr>
              <w:spacing w:after="40"/>
            </w:pPr>
            <w:r>
              <w:rPr>
                <w:b w:val="false"/>
                <w:bCs w:val="false"/>
                <w:sz w:val="18"/>
                <w:szCs w:val="18"/>
              </w:rPr>
              <w:t xml:space="preserve">50 principal components</w:t>
            </w:r>
          </w:p>
        </w:tc>
        <w:tc>
          <w:p>
            <w:pPr>
              <w:spacing w:after="40"/>
            </w:pPr>
            <w:r>
              <w:rPr>
                <w:b w:val="false"/>
                <w:bCs w:val="false"/>
                <w:sz w:val="18"/>
                <w:szCs w:val="18"/>
              </w:rPr>
              <w:t xml:space="preserve">0.70–0.73 on drug-arm labels</w:t>
            </w:r>
          </w:p>
        </w:tc>
      </w:tr>
      <w:tr>
        <w:trPr>
          <w:tblHeader w:val="false"/>
        </w:trPr>
        <w:tc>
          <w:p>
            <w:pPr>
              <w:spacing w:after="40"/>
            </w:pPr>
            <w:r>
              <w:rPr>
                <w:b w:val="false"/>
                <w:bCs w:val="false"/>
                <w:sz w:val="18"/>
                <w:szCs w:val="18"/>
              </w:rPr>
              <w:t xml:space="preserve">Other-arm model</w:t>
            </w:r>
          </w:p>
        </w:tc>
        <w:tc>
          <w:p>
            <w:pPr>
              <w:spacing w:after="40"/>
            </w:pPr>
            <w:r>
              <w:rPr>
                <w:b w:val="false"/>
                <w:bCs w:val="false"/>
                <w:sz w:val="18"/>
                <w:szCs w:val="18"/>
              </w:rPr>
              <w:t xml:space="preserve">Main model trained on the other two drug arms</w:t>
            </w:r>
          </w:p>
        </w:tc>
        <w:tc>
          <w:p>
            <w:pPr>
              <w:spacing w:after="40"/>
            </w:pPr>
            <w:r>
              <w:rPr>
                <w:b w:val="false"/>
                <w:bCs w:val="false"/>
                <w:sz w:val="18"/>
                <w:szCs w:val="18"/>
              </w:rPr>
              <w:t xml:space="preserve">50 principal components</w:t>
            </w:r>
          </w:p>
        </w:tc>
        <w:tc>
          <w:p>
            <w:pPr>
              <w:spacing w:after="40"/>
            </w:pPr>
            <w:r>
              <w:rPr>
                <w:b w:val="false"/>
                <w:bCs w:val="false"/>
                <w:sz w:val="18"/>
                <w:szCs w:val="18"/>
              </w:rPr>
              <w:t xml:space="preserve">Gain over the fitness model of 0.004 to 0.006</w:t>
            </w:r>
          </w:p>
        </w:tc>
      </w:tr>
      <w:tr>
        <w:trPr>
          <w:tblHeader w:val="false"/>
        </w:trPr>
        <w:tc>
          <w:p>
            <w:pPr>
              <w:spacing w:after="40"/>
            </w:pPr>
            <w:r>
              <w:rPr>
                <w:b w:val="false"/>
                <w:bCs w:val="false"/>
                <w:sz w:val="18"/>
                <w:szCs w:val="18"/>
              </w:rPr>
              <w:t xml:space="preserve">Label-free density score</w:t>
            </w:r>
          </w:p>
        </w:tc>
        <w:tc>
          <w:p>
            <w:pPr>
              <w:spacing w:after="40"/>
            </w:pPr>
            <w:r>
              <w:rPr>
                <w:b w:val="false"/>
                <w:bCs w:val="false"/>
                <w:sz w:val="18"/>
                <w:szCs w:val="18"/>
              </w:rPr>
              <w:t xml:space="preserve">Mean distance to the 15 nearest neighbours; uses no labels</w:t>
            </w:r>
          </w:p>
        </w:tc>
        <w:tc>
          <w:p>
            <w:pPr>
              <w:spacing w:after="40"/>
            </w:pPr>
            <w:r>
              <w:rPr>
                <w:b w:val="false"/>
                <w:bCs w:val="false"/>
                <w:sz w:val="18"/>
                <w:szCs w:val="18"/>
              </w:rPr>
              <w:t xml:space="preserve">50 principal components</w:t>
            </w:r>
          </w:p>
        </w:tc>
        <w:tc>
          <w:p>
            <w:pPr>
              <w:spacing w:after="40"/>
            </w:pPr>
            <w:r>
              <w:rPr>
                <w:b w:val="false"/>
                <w:bCs w:val="false"/>
                <w:sz w:val="18"/>
                <w:szCs w:val="18"/>
              </w:rPr>
              <w:t xml:space="preserve">0.63 for NK cells to 0.70 for carboplatin</w:t>
            </w:r>
          </w:p>
        </w:tc>
      </w:tr>
      <w:tr>
        <w:trPr>
          <w:tblHeader w:val="false"/>
        </w:trPr>
        <w:tc>
          <w:p>
            <w:pPr>
              <w:spacing w:after="40"/>
            </w:pPr>
            <w:r>
              <w:rPr>
                <w:b w:val="false"/>
                <w:bCs w:val="false"/>
                <w:sz w:val="18"/>
                <w:szCs w:val="18"/>
              </w:rPr>
              <w:t xml:space="preserve">Sister ceiling</w:t>
            </w:r>
          </w:p>
        </w:tc>
        <w:tc>
          <w:p>
            <w:pPr>
              <w:spacing w:after="40"/>
            </w:pPr>
            <w:r>
              <w:rPr>
                <w:b w:val="false"/>
                <w:bCs w:val="false"/>
                <w:sz w:val="18"/>
                <w:szCs w:val="18"/>
              </w:rPr>
              <w:t xml:space="preserve">Bivariate-normal latent-liability model</w:t>
            </w:r>
          </w:p>
        </w:tc>
        <w:tc>
          <w:p>
            <w:pPr>
              <w:spacing w:after="40"/>
            </w:pPr>
            <w:r>
              <w:rPr>
                <w:b w:val="false"/>
                <w:bCs w:val="false"/>
                <w:sz w:val="18"/>
                <w:szCs w:val="18"/>
              </w:rPr>
              <w:t xml:space="preserve">Model scores of pre-treatment sister pairs</w:t>
            </w:r>
          </w:p>
        </w:tc>
        <w:tc>
          <w:p>
            <w:pPr>
              <w:spacing w:after="40"/>
            </w:pPr>
            <w:r>
              <w:rPr>
                <w:b w:val="false"/>
                <w:bCs w:val="false"/>
                <w:sz w:val="18"/>
                <w:szCs w:val="18"/>
              </w:rPr>
              <w:t xml:space="preserve">About 0.84 (drug arms) and 0.76 (control) if the treated sister were scored</w:t>
            </w:r>
          </w:p>
        </w:tc>
      </w:tr>
      <w:tr>
        <w:trPr>
          <w:tblHeader w:val="false"/>
        </w:trPr>
        <w:tc>
          <w:p>
            <w:pPr>
              <w:spacing w:after="40"/>
            </w:pPr>
            <w:r>
              <w:rPr>
                <w:b w:val="false"/>
                <w:bCs w:val="false"/>
                <w:sz w:val="18"/>
                <w:szCs w:val="18"/>
              </w:rPr>
              <w:t xml:space="preserve">Cox regression</w:t>
            </w:r>
          </w:p>
        </w:tc>
        <w:tc>
          <w:p>
            <w:pPr>
              <w:spacing w:after="40"/>
            </w:pPr>
            <w:r>
              <w:rPr>
                <w:b w:val="false"/>
                <w:bCs w:val="false"/>
                <w:sz w:val="18"/>
                <w:szCs w:val="18"/>
              </w:rPr>
              <w:t xml:space="preserve">Proportional-hazards survival model</w:t>
            </w:r>
          </w:p>
        </w:tc>
        <w:tc>
          <w:p>
            <w:pPr>
              <w:spacing w:after="40"/>
            </w:pPr>
            <w:r>
              <w:rPr>
                <w:b w:val="false"/>
                <w:bCs w:val="false"/>
                <w:sz w:val="18"/>
                <w:szCs w:val="18"/>
              </w:rPr>
              <w:t xml:space="preserve">Signature scores of 303 TCGA ovarian tumours</w:t>
            </w:r>
          </w:p>
        </w:tc>
        <w:tc>
          <w:p>
            <w:pPr>
              <w:spacing w:after="40"/>
            </w:pPr>
            <w:r>
              <w:rPr>
                <w:b w:val="false"/>
                <w:bCs w:val="false"/>
                <w:sz w:val="18"/>
                <w:szCs w:val="18"/>
              </w:rPr>
              <w:t xml:space="preserve">Hazard ratios (Fig. 7c)</w:t>
            </w:r>
          </w:p>
        </w:tc>
      </w:tr>
    </w:tbl>
    <w:p>
      <w:pPr>
        <w:spacing w:after="160" w:line="360"/>
        <w:jc w:val="both"/>
      </w:pPr>
      <w:r>
        <w:t xml:space="preserve">AUROC, area under the receiver operating characteristic curve. Ranges are over the four arms, or over the three drug arms where stated, from lineage-grouped five-fold cross-validation. Methods give full settings for every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pacing w:before="240"/>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600575"/>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under three preprocessing variants; error bars are 95% intervals from 200 bootstrap replicates that refit the whole procedure (Table S27). Narrower intervals that only resample the evaluation are listed in Table S19. </w:t>
      </w:r>
      <w:r>
        <w:rPr>
          <w:b/>
          <w:bCs/>
          <w:sz w:val="19"/>
          <w:szCs w:val="19"/>
        </w:rPr>
        <w:t xml:space="preserve">d</w:t>
      </w:r>
      <w:r>
        <w:rPr>
          <w:sz w:val="19"/>
          <w:szCs w:val="19"/>
        </w:rPr>
        <w:t xml:space="preserve">, With every model trained at the control arm's size, the AUROC gain on each drug arm's labels of a model trained on the other two drug arms over the fitness model (green, shared with other treatments) and of the arm's own model over the other-arm model (orange, unique to the drug); the two add up to the drug-specific gain. Error bars are refitting 95% bootstrap intervals (Table S28).</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Is this gain real, or could it be chance? The experiment is too small to say for certain. A design calculation shows that, with 3,879 labelled control families, the experiment can detect a gain of about 0.025 to 0.028 with 80% power, and every estimate falls below that. As expected from this, intervals that account for refitting the models do not exclude zero in the main analysis. When we repeated the whole procedure inside each of 200 bootstrap samples, refitting both models each time, the estimates were 0.017 for carboplatin (95% CI −0.0002 to 0.043), 0.022 for olaparib (−0.004 to 0.046) and 0.014 for NK (−0.010 to 0.043) (Table S27). These point estimates differ slightly from those above because the random training sets differ.</w:t>
      </w:r>
    </w:p>
    <w:p>
      <w:pPr>
        <w:spacing w:after="160" w:line="360"/>
        <w:jc w:val="both"/>
      </w:pPr>
      <w:r>
        <w:t xml:space="preserve">Other versions of the analysis tell the same story. Across all nine combinations of arm and preprocessing variant, the gain exceeded 0.01 in eight and was close to zero in the ninth (NK with all technical covariates removed, 0.001). Two intervals only just excluded zero, both with cell cycle removed (carboplatin 0.001 to 0.044, olaparib 0.0004 to 0.047). With nine overlapping comparisons and lower ends this close to zero, we do not count these as detections. The three-model bootstrap behind Fig. 3d, which draws its own training sets, gave total-gain intervals that excluded zero for olaparib (0.007 to 0.051) and NK (0.001 to 0.049) but not for carboplatin (−0.007 to 0.042) (Table S28). Whether an interval clears zero therefore depends on the random training sets, which is what an effect at the edge of detection looks like. Simpler intervals that resample only the evaluation, without refitting, do exclude zero in all three arms, but our simulations show that such intervals are too narrow (see below).</w:t>
      </w:r>
    </w:p>
    <w:p>
      <w:pPr>
        <w:spacing w:after="160" w:line="360"/>
        <w:jc w:val="both"/>
      </w:pPr>
      <w:r>
        <w:t xml:space="preserve">In short, the drug-specific gain is about 0.02 AUROC. It has the same sign in every arm, but this experiment cannot reliably separate it from zero. The same intervals also give an upper limit, which is the more useful result here: even at their upper ends, the gain is at most 0.043 to 0.046 AUROC, less than a fifth of the 0.22 to 0.25 by which the drug-arm models exceed chance. The data therefore do more than fail to detect a large drug-specific component; they rule out one larger than about 0.05 AUROC.</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spacing w:after="160" w:line="360"/>
        <w:jc w:val="both"/>
      </w:pPr>
      <w:r>
        <w:t xml:space="preserve">Is that smaller part tied to the particular drug, or does it reflect surviving treatment in general? A model trained on the other two drug arms, at the same training size, separates the two, because it has learnt from treated cells but never from this drug (Fig. 3d, Table S28). It improved on the fitness model by only 0.004 for carboplatin and 0.006 for olaparib and NK cells, whereas each arm's own model added a further 0.012, 0.020 and 0.012. By these point estimates, two thirds to four fifths of the gain beyond fitness was unique to the drug and a fifth to a third was shared with the other treatments. The split is less certain than the gain itself: in refitting bootstrap intervals the shared part spanned zero in every arm (for example −0.021 to 0.026 for olaparib), and the drug-unique part excluded zero only for olaparib (0.020, 95% CI 0.003–0.042; carboplatin −0.012 to 0.029, NK −0.002 to 0.035). Olaparib, the only targeted agent of the three, thus had the clearest drug-unique component.</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This fits an advantage in re-plating and regrowth.</w:t>
      </w:r>
    </w:p>
    <w:p>
      <w:pPr>
        <w:spacing w:after="160" w:line="360"/>
        <w:jc w:val="both"/>
      </w:pPr>
      <w:r>
        <w:t xml:space="preserve">The drug-specific component points the other way. After the control comparison was subtracted, E2F targets, mitotic spindle and MYC targets were lower in pre-resistant cells in all three drug arms, and for carboplatin and NK cells so were the G2-M checkpoint and DNA repair. In other words,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The drug-specific state therefore looks like slower cycling among otherwise fit cells, not senescence.</w:t>
      </w:r>
    </w:p>
    <w:p>
      <w:pPr>
        <w:spacing w:after="160" w:line="360"/>
        <w:jc w:val="both"/>
      </w:pPr>
      <w:r>
        <w:t xml:space="preserve">Few genes were unique to a single drug when each drug arm was compared with the other two drug arms rather than with the control: 8 for carboplatin, 4 for olaparib and 48 for NK cells (Table S29). Neither of the two pathway hypotheses we fixed before this test held after correction. DNA-repair genes were higher in olaparib pre-resistant cells, as expected if cells proficient in homologous recombination resist PARP inhibition, but only nominally (p = 0.042, adjusted 0.094). For NK cells, allograft-rejection genes were nominally lower (p = 0.047, adjusted 0.094), and interferon-γ response genes did not differ. The part of the signal unique to a drug is therefore spread thinly across many genes rather than concentrated in a known mechanism.</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The original study's pathway and HRD findings, revisited</w:t>
      </w:r>
    </w:p>
    <w:p>
      <w:pPr>
        <w:spacing w:after="160" w:line="360"/>
        <w:jc w:val="both"/>
      </w:pPr>
      <w:r>
        <w:t xml:space="preserve">The same comparison can be applied to the biology reported with these data. Dai et al. (2024) described pre-resistant cells as marked by proteostatic and mRNA-surveillance programmes, and found their pre-resistance signatures negatively connected to a signature of homologous-recombination deficiency (HRD), which suggested that HRD-like states prime cells for sensitivity to olaparib and carboplatin. Their published fold changes include the untreated arm, so each finding can be scored there as well (Table S30, Methods). The mRNA-surveillance programmes were present without any drug: nonsense-mediated decay, cytoplasmic translation and protein targeting to the ER were enriched among control cells whose sisters were recovered (normalised enrichment scores 1.64–1.76, p &lt; 0.001), though less than in the drug arms (1.75–2.25). They stayed enriched after the control fold change was subtracted (1.51–2.28, p ≤ 0.008), and the unfolded protein response, which did not differ in the control arm (p = 0.54), was lower beyond it in all three drug arms (p ≤ 0.013). These programmes therefore combine a fitness part with a part that goes beyond it, in line with the small drug-specific component estimated above.</w:t>
      </w:r>
    </w:p>
    <w:p>
      <w:pPr>
        <w:spacing w:after="160" w:line="360"/>
        <w:jc w:val="both"/>
      </w:pPr>
      <w:r>
        <w:t xml:space="preserve">The HRD connection did not separate the arms in this way. With the HRD signature from the isogenic COV362 cell pair, the connectivity in the untreated arm (−1.52) was as strong as in the drug arms (−1.54 to −1.76), so on its own it is not evidence of priming for a DNA-damaging drug. With the HRD signature derived from TCGA tumours, neither its up- nor its down-regulated genes were enriched in any arm (all p &gt; 0.3). The connection persisted after subtracting the control fold change (−1.41 to −1.73), which leaves room for a drug-related part, but that part does not single out the two DNA-damaging treatments: as the original authors also noted, the NK arm showed the strongest connection. Our reanalysis supports their proteostatic findings in part and suggests that the HRD link is largely shared with recovery without a drug.</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0275"/>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asterisks mark treatments in which expression added to clone size (likelihood-ratio p &lt; 0.05).</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figure is not directly comparable with the drug-specific gain we measure in ReSisTrace (0.014–0.025), because it ranks conditions within one clone rather than cells within one arm, but the two point the same way: in both systems, the part of the pre-treatment state that is specific to the treatment is small next to the part that is not.</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52950"/>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(red for the fitness signature, the only one with Wilcoxon p &lt; 0.05) and the grey band spans the mean ±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w:t>
      </w:r>
    </w:p>
    <w:p>
      <w:pPr>
        <w:spacing w:after="160" w:line="360"/>
        <w:jc w:val="both"/>
      </w:pPr>
      <w:r>
        <w:t xml:space="preserve">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This was mostly a matter of training size: those models learnt from two to five times as many labelled cells as the control model, and at equal training size a model trained on the other drug arms took up only a fifth to a third of the gain (Fig. 3d).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A technical confound acting on both the measurement and the chance of recovery, imitating the sequencing-depth effect in the real data, did not bias it either (−0.002, against a true gain of 0.015).</w:t>
      </w:r>
    </w:p>
    <w:p>
      <w:pPr>
        <w:spacing w:after="160" w:line="360"/>
        <w:jc w:val="both"/>
      </w:pPr>
      <w:r>
        <w:t xml:space="preserve">Simple intervals were too narrow (Fig. S5b). Intervals that resample families but do not refit the models covered the true value in only 52% to 88% of experiments instead of 95%, with or without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two questions. Does a cancer cell's transcriptome before treatment predict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which fits an advantage in growing back after handling. The drug-specific remainder makes biological sense, pointing to slower cycling among otherwise fit cells, and it is positive in every arm. But it is worth only one to three points of AUROC, and this experiment cannot reliably separate it from zero once the uncertainty of fitting is counted. Point estimates suggest that most of the remainder is tied to the particular drug rather than to being treated at all, because a model trained on the other treated arms, at the same size, recovered only a fifth to a third of it. This split is less certain than the gain itself, and it was clear only for olaparib.</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 The same check applies to the biology reported with such data. Scored against the untreated arm, the mRNA-surveillance programmes of the original ReSisTrace study were partly fitness and partly drug-related, whereas their link to HRD-like states was as strong without any drug and so cannot by itself support priming for DNA-damaging agents.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largely because it had more training data than the untreated arm.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an estimated 0.09–0.12 AUROC at most in the drug arms.</w:t>
      </w:r>
    </w:p>
    <w:p>
      <w:pPr>
        <w:spacing w:after="160" w:line="360"/>
        <w:jc w:val="both"/>
      </w:pPr>
      <w:r>
        <w:t xml:space="preserve">The synthetic experiments also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We provide the main steps as a small package that works for any lineage-tracing design with an untreated arm: the fitness baseline, the size-matched gain with a family bootstrap interval, the family permutation null and the sister ceiling.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differential expression treated the cells of a sample as independent observations. Because 90% of families consist of a single labelled cell, holding 81% of labelled cells, sisters add little dependence, but gene-level p-values may be slightly optimistic; all classifier evaluations kept families together.</w:t>
      </w:r>
    </w:p>
    <w:p>
      <w:pPr>
        <w:spacing w:after="160" w:line="360"/>
        <w:jc w:val="both"/>
      </w:pPr>
      <w:r>
        <w:t xml:space="preserve">The scope of the study is also limited. Fifth,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Sixth,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It does so well above chance, and far better than transfer-learning methods suggested on the same data. Most of that signal, however, is not about the drug. It is shared with cells that were never treated, and it tracks a proliferative, low-stress state and how typical a cell is. In a second lineage system, its counterpart, clone size, outweighs expression under every treatment. The drug-specific remainder is small and consistent in sign, but below what this experiment can resolve. Point estimates place most of it with the particular drug rather than with treatment in general, clearly so only for olaparib, and it is spread thinly across many genes rather than concentrated in a known mechanism. Because sisters are not identical, no model of the sequenced cell can predict perfectly. No substitute built without an untreated arm measured the drug-specific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r>
          <m:rPr>
            <m:sty m:val="p"/>
          </m:rPr>
          <m:t>(</m:t>
        </m:r>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r>
          <m:rPr>
            <m:sty m:val="p"/>
          </m:rPr>
          <m:t>)</m:t>
        </m:r>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cr m:val="script"/>
            <m:sty m:val="p"/>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cr m:val="script"/>
                <m:sty m:val="p"/>
              </m:rPr>
              <m:t>A</m:t>
            </m:r>
            <m:r>
              <m:rPr>
                <m:sty m:val="p"/>
              </m:rPr>
              <m:t>,</m:t>
            </m:r>
            <m:r>
              <m:t>D</m:t>
            </m:r>
          </m:sub>
        </m:sSub>
      </m:oMath>
      <w:r>
        <w:t xml:space="preserve"> the resulting score. Writing </w:t>
      </w:r>
      <m:oMath>
        <m:r>
          <m:rPr>
            <m:sty m:val="p"/>
          </m:rPr>
          <m:t>A</m:t>
        </m:r>
        <m:r>
          <m:rPr>
            <m:sty m:val="p"/>
          </m:rPr>
          <m:t>(</m:t>
        </m:r>
        <m:r>
          <m:t>f</m:t>
        </m:r>
        <m:r>
          <m:rPr>
            <m:sty m:val="p"/>
          </m:rPr>
          <m:t>)</m:t>
        </m:r>
      </m:oMath>
      <w:r>
        <w:t xml:space="preserve"> for the AUROC of a score </w:t>
      </w:r>
      <m:oMath>
        <m:r>
          <m:t>f</m:t>
        </m:r>
      </m:oMath>
      <w:r>
        <w:t xml:space="preserve"> against the drug arm's labels, the quantity we estimate is</w:t>
      </w:r>
    </w:p>
    <w:p>
      <w:pPr>
        <w:spacing w:after="160"/>
        <w:jc w:val="center"/>
      </w:pPr>
      <m:oMathPara>
        <m:oMathParaPr>
          <m:jc m:val="center"/>
        </m:oMathParaPr>
        <m:oMath>
          <m:sSub>
            <m:e>
              <m:r>
                <m:rPr>
                  <m:sty m:val="p"/>
                </m:rPr>
                <m:t>Δ</m:t>
              </m:r>
            </m:e>
            <m:sub>
              <m:r>
                <m:t>k</m:t>
              </m:r>
            </m:sub>
          </m:sSub>
          <m:r>
            <m:t> </m:t>
          </m:r>
          <m:r>
            <m:rPr>
              <m:sty m:val="p"/>
            </m:rPr>
            <m:t>=</m:t>
          </m:r>
          <m:r>
            <m:t> </m:t>
          </m:r>
          <m:sSub>
            <m:e>
              <m:r>
                <m:rPr>
                  <m:scr m:val="double-struck"/>
                  <m:sty m:val="p"/>
                </m:rPr>
                <m:t>E</m:t>
              </m:r>
            </m:e>
            <m:sub>
              <m:sSubSup>
                <m:e>
                  <m:r>
                    <m:t>D</m:t>
                  </m:r>
                </m:e>
                <m:sub>
                  <m:r>
                    <m:t>k</m:t>
                  </m:r>
                </m:sub>
                <m:sup>
                  <m:r>
                    <m:rPr>
                      <m:nor/>
                      <m:sty m:val="p"/>
                    </m:rPr>
                    <m:t>drug</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drug</m:t>
                          </m:r>
                        </m:sup>
                      </m:sSubSup>
                    </m:sub>
                  </m:sSub>
                </m:e>
              </m:d>
            </m:e>
          </m:d>
          <m:r>
            <m:t> </m:t>
          </m:r>
          <m:r>
            <m:rPr>
              <m:sty m:val="p"/>
            </m:rPr>
            <m:t>−</m:t>
          </m:r>
          <m:r>
            <m:t> </m:t>
          </m:r>
          <m:sSub>
            <m:e>
              <m:r>
                <m:rPr>
                  <m:scr m:val="double-struck"/>
                  <m:sty m:val="p"/>
                </m:rPr>
                <m:t>E</m:t>
              </m:r>
            </m:e>
            <m:sub>
              <m:sSubSup>
                <m:e>
                  <m:r>
                    <m:t>D</m:t>
                  </m:r>
                </m:e>
                <m:sub>
                  <m:r>
                    <m:t>k</m:t>
                  </m:r>
                </m:sub>
                <m:sup>
                  <m:r>
                    <m:rPr>
                      <m:nor/>
                      <m:sty m:val="p"/>
                    </m:rPr>
                    <m:t>ctrl</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rPr>
                <m:sty m:val="p"/>
              </m:rP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It used 200 replicates that resampled whole families separately in the control arm and the drug arm, three training subsamples per replicate, and the basic (pivotal) interval, because resampling with replacement leaves fewer distinct families to train on and can shift the replicate distribution away from the estimate.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Fitness, general treatment and the particular drug.</w:t>
      </w:r>
      <w:r>
        <w:t xml:space="preserve"> To ask whether the gain over the fitness model is shared between treatments, three PCA-logistic models were compared on each drug arm's labels, all trained on random sets of whole families totalling as many cells as the labelled control arm (4,183): the fitness model, trained on the control arm; a model trained on the pooled labels of the other two drug arms, which never sees the arm being scored; and the arm's own model, scored out of fold with lineage-grouped five-fold cross-validation as above. The general-treatment gain is the AUROC of the second minus that of the first, the drug-unique gain the AUROC of the third minus that of the second, and the two add up to the size-matched drug-specific gain. Point estimates averaged five training subsamples. Intervals came from 200 bootstrap replicates that resampled families separately in the control arm, the scored arm and the other arms, refitted all three models (three subsamples each) and used the basic interval. General treatment here means whatever the treated arms share and the control arm lacks, which includes differences in handling as well as biology. We first tried a single multi-task logistic model with shared, treated-arm and per-arm blocks of weights, but its fit hardly changed across block penalties (mean AUROC 0.7285–0.7299) while the split between the treated-arm and per-arm blocks moved from one extreme to the other, so the penalties rather than the data decided the split; we did not use it.</w:t>
      </w:r>
    </w:p>
    <w:p>
      <w:pPr>
        <w:spacing w:after="160" w:line="360"/>
        <w:jc w:val="both"/>
      </w:pPr>
      <w:r>
        <w:rPr>
          <w:b/>
          <w:bCs/>
        </w:rPr>
        <w:t xml:space="preserve">Genes unique to one drug.</w:t>
      </w:r>
      <w:r>
        <w:t xml:space="preserve"> For drug arm </w:t>
      </w:r>
      <m:oMath>
        <m:r>
          <m:t>k</m:t>
        </m:r>
      </m:oMath>
      <w:r>
        <w:t xml:space="preserve">, the replicate-combined z-scores of the drug contrast were compared with the mean of the other two drug arms, </w:t>
      </w:r>
      <m:oMath>
        <m:sSub>
          <m:e>
            <m:r>
              <m:t>z</m:t>
            </m:r>
          </m:e>
          <m:sub>
            <m:r>
              <m:rPr>
                <m:nor/>
                <m:sty m:val="p"/>
              </m:rPr>
              <m:t>unique</m:t>
            </m:r>
          </m:sub>
        </m:sSub>
        <m:r>
          <m:rPr>
            <m:sty m:val="p"/>
          </m:rPr>
          <m:t>=</m:t>
        </m:r>
        <m:r>
          <m:rPr>
            <m:sty m:val="p"/>
          </m:rPr>
          <m:t>(</m:t>
        </m:r>
        <m:sSub>
          <m:e>
            <m:r>
              <m:t>z</m:t>
            </m:r>
          </m:e>
          <m:sub>
            <m:r>
              <m:t>k</m:t>
            </m:r>
          </m:sub>
        </m:sSub>
        <m:r>
          <m:rPr>
            <m:sty m:val="p"/>
          </m:rPr>
          <m:t>−</m:t>
        </m:r>
        <m:sSub>
          <m:e>
            <m:acc>
              <m:accPr>
                <m:chr m:val="‾"/>
              </m:accPr>
              <m:e>
                <m:r>
                  <m:t>z</m:t>
                </m:r>
              </m:e>
            </m:acc>
          </m:e>
          <m:sub>
            <m:r>
              <m:t>j</m:t>
            </m:r>
            <m:r>
              <m:rPr>
                <m:sty m:val="p"/>
              </m:rPr>
              <m:t>≠</m:t>
            </m:r>
            <m:r>
              <m:t>k</m:t>
            </m:r>
          </m:sub>
        </m:sSub>
        <m:r>
          <m:rPr>
            <m:sty m:val="p"/>
          </m:rPr>
          <m:t>)</m:t>
        </m:r>
        <m:r>
          <m:rPr>
            <m:sty m:val="p"/>
          </m:rPr>
          <m:t>/</m:t>
        </m:r>
        <m:rad>
          <m:radPr>
            <m:degHide m:val="on"/>
          </m:radPr>
          <m:deg/>
          <m:e>
            <m:r>
              <m:t>1.5</m:t>
            </m:r>
          </m:e>
        </m:rad>
      </m:oMath>
      <w:r>
        <w:t xml:space="preserve">, which is standard normal under the null when the three arms' z-scores are independent. Genes with FDR &lt; 0.05, the same sign in both replicates of arm </w:t>
      </w:r>
      <m:oMath>
        <m:r>
          <m:t>k</m:t>
        </m:r>
      </m:oMath>
      <w:r>
        <w:t xml:space="preserve"> and the same sign as the drug contrast were called drug-unique, and </w:t>
      </w:r>
      <m:oMath>
        <m:sSub>
          <m:e>
            <m:r>
              <m:t>z</m:t>
            </m:r>
          </m:e>
          <m:sub>
            <m:r>
              <m:rPr>
                <m:nor/>
                <m:sty m:val="p"/>
              </m:rPr>
              <m:t>unique</m:t>
            </m:r>
          </m:sub>
        </m:sSub>
      </m:oMath>
      <w:r>
        <w:t xml:space="preserve"> was used for preranked Hallmark GSEA. Before running the test we fixed two hypotheses: enrichment of DNA repair for olaparib and carboplatin, and of interferon-γ response or allograft rejection for NK cells. These four tests were corrected among themselves (Benjamini–Hochberg).</w:t>
      </w:r>
    </w:p>
    <w:p>
      <w:pPr>
        <w:spacing w:after="160" w:line="360"/>
        <w:jc w:val="both"/>
      </w:pPr>
      <w:r>
        <w:rPr>
          <w:b/>
          <w:bCs/>
        </w:rPr>
        <w:t xml:space="preserve">Published claims.</w:t>
      </w:r>
      <w:r>
        <w:t xml:space="preserve"> Per-gene log2 fold changes (pre-resistant versus pre-sensitive, every arm including the control) and the HRD-versus-HR-proficient fold changes from TCGA and from the isogenic COV362 pair were taken unchanged from Supplementary Data 2 and 4 of Dai et al. (2024). Gene Ontology terms (Ashburner et al., 2000) named in their claim, from the Enrichr GO Biological Process 2021 library (Kuleshov et al., 2016), were tested by preranked GSEA (GSEApy, 1,000 permutations) on each arm's fold change and on each drug arm's fold change minus the control's, which is their own control-contrast signature. For HRD, the 100 genes with the largest and the 100 with the smallest fold change among those with adjusted p &lt; 0.05 formed up- and down-sets, scored in the same way, and connectivity was </w:t>
      </w:r>
      <m:oMath>
        <m:r>
          <m:rPr>
            <m:sty m:val="p"/>
          </m:rPr>
          <m:t>(</m:t>
        </m:r>
        <m:sSub>
          <m:e>
            <m:r>
              <m:rPr>
                <m:sty m:val="p"/>
              </m:rPr>
              <m:t>N</m:t>
            </m:r>
            <m:r>
              <m:rPr>
                <m:sty m:val="p"/>
              </m:rPr>
              <m:t>E</m:t>
            </m:r>
            <m:r>
              <m:rPr>
                <m:sty m:val="p"/>
              </m:rPr>
              <m:t>S</m:t>
            </m:r>
          </m:e>
          <m:sub>
            <m:r>
              <m:rPr>
                <m:nor/>
                <m:sty m:val="p"/>
              </m:rPr>
              <m:t>up</m:t>
            </m:r>
          </m:sub>
        </m:sSub>
        <m:r>
          <m:rPr>
            <m:sty m:val="p"/>
          </m:rPr>
          <m:t>−</m:t>
        </m:r>
        <m:sSub>
          <m:e>
            <m:r>
              <m:rPr>
                <m:sty m:val="p"/>
              </m:rPr>
              <m:t>N</m:t>
            </m:r>
            <m:r>
              <m:rPr>
                <m:sty m:val="p"/>
              </m:rPr>
              <m:t>E</m:t>
            </m:r>
            <m:r>
              <m:rPr>
                <m:sty m:val="p"/>
              </m:rPr>
              <m:t>S</m:t>
            </m:r>
          </m:e>
          <m:sub>
            <m:r>
              <m:rPr>
                <m:nor/>
                <m:sty m:val="p"/>
              </m:rPr>
              <m:t>down</m:t>
            </m:r>
          </m:sub>
        </m:sSub>
        <m:r>
          <m:rPr>
            <m:sty m:val="p"/>
          </m:rPr>
          <m:t>)</m:t>
        </m:r>
        <m:r>
          <m:rPr>
            <m:sty m:val="p"/>
          </m:rPr>
          <m:t>/</m:t>
        </m:r>
        <m:r>
          <m:t>2</m:t>
        </m:r>
      </m:oMath>
      <w:r>
        <w:t xml:space="preserve"> when the two sets moved in opposite directions and 0 otherwise, the rule of the PharmacoGx connectivity score (Smirnov et al., 2016) that the original study used, after the Connectivity Map (Lamb et al., 2006). Their gene sets and enrichment implementation differed from ours, so our values approximate theirs rather than reproduce them. The analysis was repeated on our z-scores (Table S30).</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r>
          <m:rPr>
            <m:sty m:val="p"/>
          </m:rPr>
          <m:t>(</m:t>
        </m:r>
        <m:r>
          <m:t>0</m:t>
        </m:r>
        <m:r>
          <m:rPr>
            <m:sty m:val="p"/>
          </m:rPr>
          <m:t>,</m:t>
        </m:r>
        <m:sSub>
          <m:e>
            <m:r>
              <m:t>I</m:t>
            </m:r>
          </m:e>
          <m:sub>
            <m:r>
              <m:t>10</m:t>
            </m:r>
          </m:sub>
        </m:sSub>
        <m:r>
          <m:rPr>
            <m:sty m:val="p"/>
          </m:rPr>
          <m:t>)</m:t>
        </m:r>
      </m:oMath>
      <w:r>
        <w:t xml:space="preserve">, and its two sisters are measured with independent noise,</w:t>
      </w:r>
    </w:p>
    <w:p>
      <w:pPr>
        <w:spacing w:after="160"/>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r>
            <m:rPr>
              <m:sty m:val="p"/>
            </m:rPr>
            <m:t>(</m:t>
          </m:r>
          <m:r>
            <m:t>0</m:t>
          </m:r>
          <m:r>
            <m:rPr>
              <m:sty m:val="p"/>
            </m:rPr>
            <m:t>,</m:t>
          </m:r>
          <m:sSub>
            <m:e>
              <m:r>
                <m:t>I</m:t>
              </m:r>
            </m:e>
            <m:sub>
              <m:r>
                <m:t>10</m:t>
              </m:r>
            </m:sub>
          </m:sSub>
          <m:r>
            <m:rPr>
              <m:sty m:val="p"/>
            </m:rPr>
            <m:t>)</m:t>
          </m:r>
          <m:r>
            <m:rPr>
              <m:sty m:val="p"/>
            </m:rPr>
            <m:t>,</m:t>
          </m:r>
        </m:oMath>
      </m:oMathPara>
    </w:p>
    <w:p>
      <w:pPr>
        <w:spacing w:after="160" w:line="360"/>
        <w:jc w:val="both"/>
      </w:pPr>
      <w:r>
        <w:t xml:space="preserve">so that sisters correlate at </w:t>
      </w:r>
      <m:oMath>
        <m:r>
          <m:t>1</m:t>
        </m:r>
        <m:r>
          <m:rPr>
            <m:sty m:val="p"/>
          </m:rPr>
          <m:t>/</m:t>
        </m:r>
        <m:r>
          <m:rPr>
            <m:sty m:val="p"/>
          </m:rPr>
          <m:t>(</m:t>
        </m:r>
        <m:r>
          <m:t>1</m:t>
        </m:r>
        <m:r>
          <m:rPr>
            <m:sty m:val="p"/>
          </m:rPr>
          <m:t>+</m:t>
        </m:r>
        <m:sSup>
          <m:e>
            <m:r>
              <m:t>s</m:t>
            </m:r>
          </m:e>
          <m:sup>
            <m:r>
              <m:t>2</m:t>
            </m:r>
          </m:sup>
        </m:sSup>
        <m:r>
          <m:rPr>
            <m:sty m:val="p"/>
          </m:rPr>
          <m:t>)</m:t>
        </m:r>
      </m:oMath>
      <w:r>
        <w:t xml:space="preserve"> in each dimension. Whether the treated sister survives follows a liability built from</w:t>
      </w:r>
    </w:p>
    <w:p>
      <w:pPr>
        <w:spacing w:after="160"/>
        <w:jc w:val="center"/>
      </w:pPr>
      <m:oMathPara>
        <m:oMathParaPr>
          <m:jc m:val="center"/>
        </m:oMathParaPr>
        <m:oMath>
          <m:r>
            <m:t>u</m:t>
          </m:r>
          <m:r>
            <m:rPr>
              <m:sty m:val="p"/>
            </m:rPr>
            <m:t>=</m:t>
          </m:r>
          <m:r>
            <m:t>f</m:t>
          </m:r>
          <m:r>
            <m:t> </m:t>
          </m:r>
          <m:sSub>
            <m:e>
              <m:r>
                <m:t>x</m:t>
              </m:r>
            </m:e>
            <m:sub>
              <m:r>
                <m:t>B</m:t>
              </m:r>
            </m:sub>
          </m:sSub>
          <m:r>
            <m:rPr>
              <m:sty m:val="p"/>
            </m:rPr>
            <m:t>+</m:t>
          </m:r>
          <m:r>
            <m:rPr>
              <m:sty m:val="p"/>
            </m:rPr>
            <m:t>(</m:t>
          </m:r>
          <m:r>
            <m:t>1</m:t>
          </m:r>
          <m:r>
            <m:rPr>
              <m:sty m:val="p"/>
            </m:rPr>
            <m:t>−</m:t>
          </m:r>
          <m:r>
            <m:t>f</m:t>
          </m:r>
          <m:r>
            <m:rPr>
              <m:sty m:val="p"/>
            </m:rPr>
            <m:t>)</m:t>
          </m:r>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r>
            <m:rPr>
              <m:sty m:val="p"/>
            </m:rPr>
            <m:t>(</m:t>
          </m:r>
          <m:r>
            <m:t>0</m:t>
          </m:r>
          <m:r>
            <m:rPr>
              <m:sty m:val="p"/>
            </m:rPr>
            <m:t>,</m:t>
          </m:r>
          <m:r>
            <m:t>1</m:t>
          </m:r>
          <m:r>
            <m:rPr>
              <m:sty m:val="p"/>
            </m:rPr>
            <m:t>)</m:t>
          </m:r>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r>
          <m:rPr>
            <m:sty m:val="p"/>
          </m:rPr>
          <m:t>(</m:t>
        </m:r>
        <m:r>
          <m:t>1</m:t>
        </m:r>
        <m:r>
          <m:rPr>
            <m:sty m:val="p"/>
          </m:rPr>
          <m:t>−</m:t>
        </m:r>
        <m:r>
          <m:t>p</m:t>
        </m:r>
        <m:r>
          <m:rPr>
            <m:sty m:val="p"/>
          </m:rPr>
          <m:t>)</m:t>
        </m:r>
      </m:oMath>
      <w:r>
        <w:t xml:space="preserve"> quantile, and a fraction of true positives is then flipped to negative to imitate a sister that was not recovered. Because every variable is jointly Gaussian, the best possible score of the sequenced sister is the linear predictor </w:t>
      </w:r>
      <m:oMath>
        <m:r>
          <m:t>E</m:t>
        </m:r>
        <m:r>
          <m:rPr>
            <m:sty m:val="p"/>
          </m:rPr>
          <m:t>[</m:t>
        </m:r>
        <m:r>
          <m:t>L</m:t>
        </m:r>
        <m:r>
          <m:rPr>
            <m:sty m:val="p"/>
          </m:rPr>
          <m:t>∣</m:t>
        </m:r>
        <m:sSub>
          <m:e>
            <m:r>
              <m:t>x</m:t>
            </m:r>
          </m:e>
          <m:sub>
            <m:r>
              <m:t>A</m:t>
            </m:r>
          </m:sub>
        </m:sSub>
        <m:r>
          <m:rPr>
            <m:sty m:val="p"/>
          </m:rPr>
          <m:t>]</m:t>
        </m:r>
        <m:r>
          <m:rPr>
            <m:sty m:val="p"/>
          </m:rPr>
          <m:t>=</m:t>
        </m:r>
        <m:sSubSup>
          <m:e>
            <m:r>
              <m:t>x</m:t>
            </m:r>
          </m:e>
          <m:sub>
            <m:r>
              <m:t>A</m:t>
            </m:r>
          </m:sub>
          <m:sup>
            <m:r>
              <m:rPr>
                <m:sty m:val="p"/>
              </m:rPr>
              <m:t>⊤</m:t>
            </m:r>
          </m:sup>
        </m:sSubSup>
        <m:r>
          <m:t>β</m:t>
        </m:r>
      </m:oMath>
      <w:r>
        <w:t xml:space="preserve"> with </w:t>
      </w:r>
      <m:oMath>
        <m:r>
          <m:t>β</m:t>
        </m:r>
        <m:r>
          <m:rPr>
            <m:sty m:val="p"/>
          </m:rPr>
          <m:t>=</m:t>
        </m:r>
        <m:r>
          <m:rPr>
            <m:sty m:val="p"/>
          </m:rPr>
          <m:t>Cov</m:t>
        </m:r>
        <m:r>
          <m:rPr>
            <m:sty m:val="p"/>
          </m:rPr>
          <m:t>(</m:t>
        </m:r>
        <m:sSub>
          <m:e>
            <m:r>
              <m:t>x</m:t>
            </m:r>
          </m:e>
          <m:sub>
            <m:r>
              <m:t>A</m:t>
            </m:r>
          </m:sub>
        </m:sSub>
        <m:sSup>
          <m:e>
            <m:r>
              <m:rPr>
                <m:sty m:val="p"/>
              </m:rPr>
              <m:t>)</m:t>
            </m:r>
          </m:e>
          <m:sup>
            <m:r>
              <m:rPr>
                <m:sty m:val="p"/>
              </m:rPr>
              <m:t>−</m:t>
            </m:r>
            <m:r>
              <m:t>1</m:t>
            </m:r>
          </m:sup>
        </m:sSup>
        <m:r>
          <m:rPr>
            <m:sty m:val="p"/>
          </m:rPr>
          <m:t>Cov</m:t>
        </m:r>
        <m:r>
          <m:rPr>
            <m:sty m:val="p"/>
          </m:rPr>
          <m:t>(</m:t>
        </m:r>
        <m:sSub>
          <m:e>
            <m:r>
              <m:t>x</m:t>
            </m:r>
          </m:e>
          <m:sub>
            <m:r>
              <m:t>A</m:t>
            </m:r>
          </m:sub>
        </m:sSub>
        <m:r>
          <m:rPr>
            <m:sty m:val="p"/>
          </m:rPr>
          <m:t>,</m:t>
        </m:r>
        <m:r>
          <m:t>L</m:t>
        </m:r>
        <m:r>
          <m:rPr>
            <m:sty m:val="p"/>
          </m:rPr>
          <m:t>)</m:t>
        </m:r>
      </m:oMath>
      <w:r>
        <w:t xml:space="preserve">, which has a closed form. Without the depth confound it is proportional to </w:t>
      </w:r>
      <m:oMath>
        <m:r>
          <m:t>a</m:t>
        </m:r>
        <m:r>
          <m:t> </m:t>
        </m:r>
        <m:sSub>
          <m:e>
            <m:r>
              <m:t>x</m:t>
            </m:r>
          </m:e>
          <m:sub>
            <m:r>
              <m:t>A</m:t>
            </m:r>
            <m:r>
              <m:t>1</m:t>
            </m:r>
          </m:sub>
        </m:sSub>
        <m:r>
          <m:rPr>
            <m:sty m:val="p"/>
          </m:rPr>
          <m:t>+</m:t>
        </m:r>
        <m:r>
          <m:t>b</m:t>
        </m:r>
        <m:r>
          <m:t> </m:t>
        </m:r>
        <m:sSub>
          <m:e>
            <m:r>
              <m:t>x</m:t>
            </m:r>
          </m:e>
          <m:sub>
            <m:r>
              <m:t>A</m:t>
            </m:r>
            <m:r>
              <m:t>2</m:t>
            </m:r>
          </m:sub>
        </m:sSub>
      </m:oMath>
      <w:r>
        <w:t xml:space="preserve"> for the drug arm and to </w:t>
      </w:r>
      <m:oMath>
        <m:sSub>
          <m:e>
            <m:r>
              <m:t>x</m:t>
            </m:r>
          </m:e>
          <m:sub>
            <m:r>
              <m:t>A</m:t>
            </m:r>
            <m:r>
              <m:t>1</m:t>
            </m:r>
          </m:sub>
        </m:sSub>
      </m:oMath>
      <w:r>
        <w:t xml:space="preserve"> for the fitness model; with it, both also read the shared depth term from the remaining dimensions. The population value of every reported quantity therefore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after="160"/>
        <w:jc w:val="center"/>
      </w:pPr>
      <m:oMathPara>
        <m:oMathParaPr>
          <m:jc m:val="center"/>
        </m:oMathParaPr>
        <m:oMath>
          <m:r>
            <m:rPr>
              <m:sty m:val="p"/>
            </m:rPr>
            <m:t>se</m:t>
          </m:r>
          <m:r>
            <m:rPr>
              <m:sty m:val="p"/>
            </m:rPr>
            <m:t>(</m:t>
          </m:r>
          <m:r>
            <m:rPr>
              <m:sty m:val="p"/>
            </m:rPr>
            <m:t>Δ</m:t>
          </m:r>
          <m:r>
            <m:rPr>
              <m:sty m:val="p"/>
            </m:rPr>
            <m:t>)</m:t>
          </m:r>
          <m:r>
            <m:t> </m:t>
          </m:r>
          <m:r>
            <m:rPr>
              <m:sty m:val="p"/>
            </m:rPr>
            <m:t>=</m:t>
          </m:r>
          <m:r>
            <m:t> </m:t>
          </m:r>
          <m:f>
            <m:fPr>
              <m:type m:val="bar"/>
            </m:fPr>
            <m:num>
              <m:r>
                <m:t>κ</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p</m:t>
                  </m:r>
                  <m:r>
                    <m:rPr>
                      <m:sty m:val="p"/>
                    </m:rPr>
                    <m:t>(</m:t>
                  </m:r>
                  <m:r>
                    <m:t>1</m:t>
                  </m:r>
                  <m:r>
                    <m:rPr>
                      <m:sty m:val="p"/>
                    </m:rPr>
                    <m:t>−</m:t>
                  </m:r>
                  <m:r>
                    <m:t>p</m:t>
                  </m:r>
                  <m:r>
                    <m:rPr>
                      <m:sty m:val="p"/>
                    </m:rPr>
                    <m:t>)</m:t>
                  </m:r>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κ</m:t>
        </m:r>
      </m:oMath>
      <w:r>
        <w:t xml:space="preserve"> was calibrated. The effective size is the harmonic mean because the drug model is trained down to the control arm's size, so adding drug families alone stops helping. The constant </w:t>
      </w:r>
      <m:oMath>
        <m:r>
          <m:t>κ</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after="160"/>
        <w:jc w:val="center"/>
      </w:pPr>
      <m:oMathPara>
        <m:oMathParaPr>
          <m:jc m:val="center"/>
        </m:oMathParaPr>
        <m:oMath>
          <m:r>
            <m:t>c</m:t>
          </m:r>
          <m:r>
            <m:t> </m:t>
          </m:r>
          <m:r>
            <m:rPr>
              <m:sty m:val="p"/>
            </m:rPr>
            <m:t>=</m:t>
          </m:r>
          <m:r>
            <m:t> </m:t>
          </m:r>
          <m:r>
            <m:rPr>
              <m:sty m:val="p"/>
            </m:rPr>
            <m:t>corr</m:t>
          </m:r>
          <m:r>
            <m:rPr>
              <m:sty m:val="p"/>
            </m:rPr>
            <m:t>(</m:t>
          </m:r>
          <m:sSub>
            <m:e>
              <m:r>
                <m:t>S</m:t>
              </m:r>
            </m:e>
            <m:sub>
              <m:r>
                <m:t>A</m:t>
              </m:r>
            </m:sub>
          </m:sSub>
          <m:r>
            <m:rPr>
              <m:sty m:val="p"/>
            </m:rPr>
            <m:t>,</m:t>
          </m:r>
          <m:sSub>
            <m:e>
              <m:r>
                <m:t>S</m:t>
              </m:r>
            </m:e>
            <m:sub>
              <m:r>
                <m:t>B</m:t>
              </m:r>
            </m:sub>
          </m:sSub>
          <m:r>
            <m:rPr>
              <m:sty m:val="p"/>
            </m:rPr>
            <m:t>)</m:t>
          </m:r>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after="160"/>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r>
            <m:rPr>
              <m:sty m:val="p"/>
            </m:rPr>
            <m:t>(</m:t>
          </m:r>
          <m:r>
            <m:t>1</m:t>
          </m:r>
          <m:r>
            <m:rPr>
              <m:sty m:val="p"/>
            </m:rPr>
            <m:t>−</m:t>
          </m:r>
          <m:r>
            <m:t>π</m:t>
          </m:r>
          <m:r>
            <m:rPr>
              <m:sty m:val="p"/>
            </m:rPr>
            <m:t>)</m:t>
          </m:r>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after="160"/>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sepChr m:val=""/>
              <m:end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r>
            <m:rPr>
              <m:sty m:val="p"/>
            </m:rPr>
            <m:t>(</m:t>
          </m:r>
          <m:sSub>
            <m:e>
              <m:r>
                <m:t>S</m:t>
              </m:r>
            </m:e>
            <m:sub>
              <m:r>
                <m:t>A</m:t>
              </m:r>
            </m:sub>
          </m:sSub>
          <m:r>
            <m:rPr>
              <m:sty m:val="p"/>
            </m:rPr>
            <m:t>,</m:t>
          </m:r>
          <m:sSub>
            <m:e>
              <m:r>
                <m:t>L</m:t>
              </m:r>
            </m:e>
            <m:sub>
              <m:r>
                <m:t>B</m:t>
              </m:r>
            </m:sub>
          </m:sSub>
          <m:r>
            <m:rPr>
              <m:sty m:val="p"/>
            </m:rPr>
            <m:t>)</m:t>
          </m:r>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after="160"/>
        <w:jc w:val="center"/>
      </w:pPr>
      <m:oMathPara>
        <m:oMathParaPr>
          <m:jc m:val="center"/>
        </m:oMathParaPr>
        <m:oMath>
          <m:sSub>
            <m:e>
              <m:r>
                <m:t>ρ</m:t>
              </m:r>
            </m:e>
            <m:sub>
              <m:r>
                <m:rPr>
                  <m:nor/>
                  <m:sty m:val="p"/>
                </m:rPr>
                <m:t>fate</m:t>
              </m:r>
            </m:sub>
          </m:sSub>
          <m:r>
            <m:t> </m:t>
          </m:r>
          <m:r>
            <m:rPr>
              <m:sty m:val="p"/>
            </m:rPr>
            <m:t>=</m:t>
          </m:r>
          <m:r>
            <m:t> </m:t>
          </m:r>
          <m:r>
            <m:rPr>
              <m:sty m:val="p"/>
            </m:rPr>
            <m:t>corr</m:t>
          </m:r>
          <m:r>
            <m:rPr>
              <m:sty m:val="p"/>
            </m:rPr>
            <m:t>(</m:t>
          </m:r>
          <m:sSub>
            <m:e>
              <m:r>
                <m:t>S</m:t>
              </m:r>
            </m:e>
            <m:sub>
              <m:r>
                <m:t>B</m:t>
              </m:r>
            </m:sub>
          </m:sSub>
          <m:r>
            <m:rPr>
              <m:sty m:val="p"/>
            </m:rPr>
            <m:t>,</m:t>
          </m:r>
          <m:sSub>
            <m:e>
              <m:r>
                <m:t>L</m:t>
              </m:r>
            </m:e>
            <m:sub>
              <m:r>
                <m:t>B</m:t>
              </m:r>
            </m:sub>
          </m:sSub>
          <m:r>
            <m:rPr>
              <m:sty m:val="p"/>
            </m:rPr>
            <m:t>)</m:t>
          </m:r>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sepChr m:val=""/>
              <m:end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r>
          <m:rPr>
            <m:sty m:val="p"/>
          </m:rPr>
          <m:t>(</m:t>
        </m:r>
        <m:sSub>
          <m:e>
            <m:r>
              <m:t>S</m:t>
            </m:r>
          </m:e>
          <m:sub>
            <m:r>
              <m:t>A</m:t>
            </m:r>
          </m:sub>
        </m:sSub>
        <m:r>
          <m:rPr>
            <m:sty m:val="p"/>
          </m:rPr>
          <m:t>,</m:t>
        </m:r>
        <m:sSub>
          <m:e>
            <m:r>
              <m:t>S</m:t>
            </m:r>
          </m:e>
          <m:sub>
            <m:r>
              <m:t>B</m:t>
            </m:r>
          </m:sub>
        </m:sSub>
        <m:r>
          <m:rPr>
            <m:sty m:val="p"/>
          </m:rPr>
          <m:t>,</m:t>
        </m:r>
        <m:sSub>
          <m:e>
            <m:r>
              <m:t>L</m:t>
            </m:r>
          </m:e>
          <m:sub>
            <m:r>
              <m:t>B</m:t>
            </m:r>
          </m:sub>
        </m:sSub>
        <m:r>
          <m:rPr>
            <m:sty m:val="p"/>
          </m:rPr>
          <m:t>)</m:t>
        </m:r>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after="160"/>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r>
                <m:rPr>
                  <m:sty m:val="p"/>
                </m:rPr>
                <m:t>(</m:t>
              </m:r>
              <m:r>
                <m:t>1</m:t>
              </m:r>
              <m:r>
                <m:rPr>
                  <m:sty m:val="p"/>
                </m:rPr>
                <m:t>−</m:t>
              </m:r>
              <m:sSup>
                <m:e>
                  <m:r>
                    <m:t>c</m:t>
                  </m:r>
                </m:e>
                <m:sup>
                  <m:r>
                    <m:t>2</m:t>
                  </m:r>
                </m:sup>
              </m:sSup>
              <m:r>
                <m:rPr>
                  <m:sty m:val="p"/>
                </m:rPr>
                <m:t>)</m:t>
              </m:r>
              <m:r>
                <m:rPr>
                  <m:sty m:val="p"/>
                </m:rPr>
                <m:t>(</m:t>
              </m:r>
              <m:r>
                <m:t>1</m:t>
              </m:r>
              <m:r>
                <m:rPr>
                  <m:sty m:val="p"/>
                </m:rPr>
                <m:t>−</m:t>
              </m:r>
              <m:sSubSup>
                <m:e>
                  <m:r>
                    <m:t>ρ</m:t>
                  </m:r>
                </m:e>
                <m:sub>
                  <m:r>
                    <m:rPr>
                      <m:nor/>
                      <m:sty m:val="p"/>
                    </m:rPr>
                    <m:t>fate</m:t>
                  </m:r>
                </m:sub>
                <m:sup>
                  <m:r>
                    <m:t>2</m:t>
                  </m:r>
                </m:sup>
              </m:sSubSup>
              <m:r>
                <m:rPr>
                  <m:sty m:val="p"/>
                </m:rPr>
                <m:t>)</m:t>
              </m:r>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w:t>
      </w:r>
      <w:hyperlink w:history="1" r:id="rIdhtcdqusanxawe8yndxejg">
        <w:r>
          <w:rPr>
            <w:color w:val="0563C1"/>
            <w:u w:val="single"/>
          </w:rPr>
          <w:t xml:space="preserve">https://github.com/icbi-lab/infercnvpy</w:t>
        </w:r>
      </w:hyperlink>
      <w:r>
        <w:t xml:space="preserve">;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large language models.</w:t>
      </w:r>
      <w:r>
        <w:t xml:space="preserve"> The authors used a large language model to assist with writing code and text, checked all analyses and text, and take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GSE223003), Watermelon (GSE150949), the triple-negative breast cancer study (GSE228382, with figshare 24787458), the second lineage system (GSE279162), the patient cohort (GSE165897), and TCGA-OV through UCSC Xena. The code is available at </w:t>
      </w:r>
      <w:hyperlink w:history="1" r:id="rIdjppnzvsj4nndy5lgbvd9f">
        <w:r>
          <w:rPr>
            <w:color w:val="0563C1"/>
            <w:u w:val="single"/>
          </w:rPr>
          <w:t xml:space="preserve">https://github.com/rabeyanoor/SisFate</w:t>
        </w:r>
      </w:hyperlink>
      <w:r>
        <w:t xml:space="preserve"> under the MIT licence, and a release will be archived at Zenodo with a DOI on acceptance.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kernel scripts are included). Every metric is appended to a results table together with a hash of the configuration that produced it. All result tables underlying the figures and text, including full differential expression and gene-set enrichment results, are provided as Supplementary Tables S1–S30 (Supplementary_Tables.xlsx).</w:t>
      </w:r>
    </w:p>
    <w:p>
      <w:pPr>
        <w:spacing w:after="160" w:line="360"/>
        <w:jc w:val="both"/>
      </w:pPr>
      <w:r>
        <w:rPr>
          <w:b/>
          <w:bCs/>
        </w:rPr>
        <w:t xml:space="preserve">Competing interests.</w:t>
      </w:r>
      <w:r>
        <w:t xml:space="preserve"> The authors declare that they have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manuscript. KJR contributed to the biological interpretation of the results. Both authors read and approved the final manuscript.</w:t>
      </w:r>
    </w:p>
    <w:p>
      <w:pPr>
        <w:spacing w:after="160" w:line="360"/>
        <w:jc w:val="both"/>
      </w:pPr>
      <w:r>
        <w:rPr>
          <w:b/>
          <w:bCs/>
        </w:rPr>
        <w:t xml:space="preserve">Acknowledgements.</w:t>
      </w:r>
      <w:r>
        <w:t xml:space="preserve"> We thank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Crossref or DataCite between 25 September and 3 October 2026. For the 30 studies marked ✓, the full text was retrieved and the statements cited above were checked against it; the others were checked against their abstracts, or, for Ashburner et al. (2000), which has none, against its bibliographic record.</w:t>
      </w:r>
    </w:p>
    <w:p>
      <w:pPr>
        <w:spacing w:after="160" w:line="276"/>
        <w:jc w:val="left"/>
      </w:pPr>
      <w:r>
        <w:rPr>
          <w:sz w:val="20"/>
          <w:szCs w:val="20"/>
        </w:rPr>
        <w:t xml:space="preserve">Ashburner M, Ball CA, Blake JA, et al. Gene Ontology: tool for the unification of biology. </w:t>
      </w:r>
      <w:r>
        <w:rPr>
          <w:i/>
          <w:iCs/>
          <w:sz w:val="20"/>
          <w:szCs w:val="20"/>
        </w:rPr>
        <w:t xml:space="preserve">Nat Genet</w:t>
      </w:r>
      <w:r>
        <w:rPr>
          <w:sz w:val="20"/>
          <w:szCs w:val="20"/>
        </w:rPr>
        <w:t xml:space="preserve"> 25, 25–29 (2000). doi:10.1038/75556</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doi:10.1038/s41592-024-02201-0</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Kuleshov MV, Jones MR, Rouillard AD, et al. Enrichr: a comprehensive gene set enrichment analysis web server 2016 update. </w:t>
      </w:r>
      <w:r>
        <w:rPr>
          <w:i/>
          <w:iCs/>
          <w:sz w:val="20"/>
          <w:szCs w:val="20"/>
        </w:rPr>
        <w:t xml:space="preserve">Nucleic Acids Res</w:t>
      </w:r>
      <w:r>
        <w:rPr>
          <w:sz w:val="20"/>
          <w:szCs w:val="20"/>
        </w:rPr>
        <w:t xml:space="preserve"> 44, W90–W97 (2016). doi:10.1093/nar/gkw377</w:t>
      </w:r>
    </w:p>
    <w:p>
      <w:pPr>
        <w:spacing w:after="160" w:line="276"/>
        <w:jc w:val="left"/>
      </w:pPr>
      <w:r>
        <w:rPr>
          <w:sz w:val="20"/>
          <w:szCs w:val="20"/>
        </w:rPr>
        <w:t xml:space="preserve">Lamb J, Crawford ED, Peck D, et al. The Connectivity Map: using gene-expression signatures to connect small molecules, genes, and disease. </w:t>
      </w:r>
      <w:r>
        <w:rPr>
          <w:i/>
          <w:iCs/>
          <w:sz w:val="20"/>
          <w:szCs w:val="20"/>
        </w:rPr>
        <w:t xml:space="preserve">Science</w:t>
      </w:r>
      <w:r>
        <w:rPr>
          <w:sz w:val="20"/>
          <w:szCs w:val="20"/>
        </w:rPr>
        <w:t xml:space="preserve"> 313, 1929–1935 (2006). doi:10.1126/science.1132939</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Smirnov P, Safikhani Z, El-Hachem N, et al. PharmacoGx: an R package for analysis of large pharmacogenomic datasets. </w:t>
      </w:r>
      <w:r>
        <w:rPr>
          <w:i/>
          <w:iCs/>
          <w:sz w:val="20"/>
          <w:szCs w:val="20"/>
        </w:rPr>
        <w:t xml:space="preserve">Bioinformatics</w:t>
      </w:r>
      <w:r>
        <w:rPr>
          <w:sz w:val="20"/>
          <w:szCs w:val="20"/>
        </w:rPr>
        <w:t xml:space="preserve"> 32, 1244–1246 (2016). doi:10.1093/bioinformatics/btv723</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S1–S30,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24325"/>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51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515225"/>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rPr>
          <w:sz w:val="19"/>
          <w:szCs w:val="19"/>
        </w:rPr>
        <w:t xml:space="preserve">. Asterisks mark FDR &lt; 0.05 for z_diff. Genes not among the 5,005 retained genes (CDKN2A, RB1, GLB1, KDM5A) are omitted.</w:t>
      </w:r>
    </w:p>
    <w:p>
      <w:pPr>
        <w:keepNext/>
        <w:spacing w:before="240"/>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57575"/>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47875"/>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that resamples families without refitting the models,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tcdqusanxawe8yndxejg" Type="http://schemas.openxmlformats.org/officeDocument/2006/relationships/hyperlink" Target="https://github.com/icbi-lab/infercnvpy" TargetMode="External"/><Relationship Id="rIdjppnzvsj4nndy5lgbvd9f" Type="http://schemas.openxmlformats.org/officeDocument/2006/relationships/hyperlink" Target="https://github.com/rabeyanoor/SisFate" TargetMode="External"/><Relationship Id="rId8" Type="http://schemas.openxmlformats.org/officeDocument/2006/relationships/image" Target="media/4012a25489393d9d75f1e73ee3116022332a1a20.png"/><Relationship Id="rId9" Type="http://schemas.openxmlformats.org/officeDocument/2006/relationships/image" Target="media/e6e44f9f75d0222749e8437b9cae084d3cb168ef.png"/><Relationship Id="rId10" Type="http://schemas.openxmlformats.org/officeDocument/2006/relationships/image" Target="media/8c847c9e71ee84c7404ac60b24f323b028b4bd40.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e55f7527b4a39ef83ecd1f8bd6e08c361f5d4dff.png"/><Relationship Id="rId16" Type="http://schemas.openxmlformats.org/officeDocument/2006/relationships/image" Target="media/bed5b0a45f220230183a2ca7b012b2348d506d65.png"/><Relationship Id="rId17" Type="http://schemas.openxmlformats.org/officeDocument/2006/relationships/image" Target="media/fa79901ddb890afb6c70a034d03aee516dab442a.png"/><Relationship Id="rId18" Type="http://schemas.openxmlformats.org/officeDocument/2006/relationships/image" Target="media/3535491501c5f6b2de418566e0f0024345e7e4e9.png"/><Relationship Id="rId19" Type="http://schemas.openxmlformats.org/officeDocument/2006/relationships/image" Target="media/fb884746cb247d6cafb8fc0c6b62354be258340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 fitness, not drug tolerance, explains most pre-treatment prediction of cancer cell fate</dc:title>
  <dc:creator>Rabeya Noor</dc:creator>
  <cp:lastModifiedBy>Un-named</cp:lastModifiedBy>
  <cp:revision>1</cp:revision>
  <dcterms:created xsi:type="dcterms:W3CDTF">2026-10-10T18:27:14.561Z</dcterms:created>
  <dcterms:modified xsi:type="dcterms:W3CDTF">2026-10-10T18:27:14.561Z</dcterms:modified>
</cp:coreProperties>
</file>

<file path=docProps/custom.xml><?xml version="1.0" encoding="utf-8"?>
<Properties xmlns="http://schemas.openxmlformats.org/officeDocument/2006/custom-properties" xmlns:vt="http://schemas.openxmlformats.org/officeDocument/2006/docPropsVTypes"/>
</file>